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hint="default" w:ascii="宋体" w:hAnsi="宋体" w:eastAsia="宋体"/>
          <w:sz w:val="32"/>
          <w:szCs w:val="26"/>
          <w:lang w:val="en-US" w:eastAsia="zh-CN"/>
        </w:rPr>
      </w:pPr>
      <w:r>
        <w:rPr>
          <w:rFonts w:hint="eastAsia" w:ascii="宋体" w:hAnsi="宋体"/>
          <w:sz w:val="24"/>
          <w:szCs w:val="21"/>
        </w:rPr>
        <w:t>编号：</w:t>
      </w:r>
      <w:r>
        <w:rPr>
          <w:rFonts w:hint="eastAsia" w:ascii="宋体" w:hAnsi="宋体"/>
          <w:sz w:val="24"/>
          <w:szCs w:val="21"/>
          <w:lang w:val="en-US" w:eastAsia="zh-CN"/>
        </w:rPr>
        <w:t>20220119</w:t>
      </w:r>
    </w:p>
    <w:p>
      <w:pPr>
        <w:spacing w:line="480" w:lineRule="exact"/>
        <w:jc w:val="center"/>
        <w:rPr>
          <w:rFonts w:ascii="宋体" w:hAnsi="宋体"/>
          <w:sz w:val="26"/>
          <w:szCs w:val="26"/>
        </w:rPr>
      </w:pPr>
    </w:p>
    <w:p>
      <w:pPr>
        <w:spacing w:line="480" w:lineRule="exact"/>
        <w:jc w:val="center"/>
        <w:rPr>
          <w:rFonts w:ascii="宋体" w:hAnsi="宋体"/>
          <w:sz w:val="26"/>
          <w:szCs w:val="26"/>
        </w:rPr>
      </w:pPr>
    </w:p>
    <w:p>
      <w:pPr>
        <w:spacing w:line="480" w:lineRule="exact"/>
        <w:jc w:val="center"/>
        <w:rPr>
          <w:rFonts w:ascii="宋体" w:hAnsi="宋体"/>
          <w:sz w:val="26"/>
          <w:szCs w:val="26"/>
        </w:rPr>
      </w:pPr>
    </w:p>
    <w:p>
      <w:pPr>
        <w:spacing w:line="480" w:lineRule="exact"/>
        <w:jc w:val="center"/>
        <w:rPr>
          <w:rFonts w:ascii="宋体" w:hAnsi="宋体"/>
          <w:sz w:val="26"/>
          <w:szCs w:val="26"/>
        </w:rPr>
      </w:pPr>
    </w:p>
    <w:p>
      <w:pPr>
        <w:spacing w:line="480" w:lineRule="exact"/>
        <w:rPr>
          <w:rFonts w:ascii="宋体" w:hAnsi="宋体"/>
          <w:b/>
          <w:sz w:val="44"/>
          <w:szCs w:val="44"/>
        </w:rPr>
      </w:pPr>
    </w:p>
    <w:p>
      <w:pPr>
        <w:spacing w:line="360" w:lineRule="auto"/>
        <w:jc w:val="center"/>
        <w:rPr>
          <w:rFonts w:ascii="宋体" w:hAnsi="宋体"/>
          <w:b/>
          <w:sz w:val="52"/>
          <w:szCs w:val="52"/>
        </w:rPr>
      </w:pPr>
      <w:r>
        <w:rPr>
          <w:rFonts w:hint="eastAsia" w:ascii="宋体" w:hAnsi="宋体"/>
          <w:b/>
          <w:sz w:val="52"/>
          <w:szCs w:val="52"/>
        </w:rPr>
        <w:t>《非标品销售合同》附件</w:t>
      </w:r>
    </w:p>
    <w:p>
      <w:pPr>
        <w:spacing w:line="360" w:lineRule="auto"/>
        <w:jc w:val="center"/>
        <w:rPr>
          <w:rFonts w:ascii="宋体" w:hAnsi="宋体"/>
          <w:b/>
          <w:sz w:val="52"/>
          <w:szCs w:val="52"/>
        </w:rPr>
      </w:pPr>
      <w:r>
        <w:rPr>
          <w:rFonts w:hint="eastAsia" w:ascii="宋体" w:hAnsi="宋体"/>
          <w:b/>
          <w:sz w:val="52"/>
          <w:szCs w:val="52"/>
        </w:rPr>
        <w:t>之</w:t>
      </w:r>
    </w:p>
    <w:p>
      <w:pPr>
        <w:spacing w:line="360" w:lineRule="auto"/>
        <w:jc w:val="center"/>
        <w:rPr>
          <w:rFonts w:ascii="宋体" w:hAnsi="宋体"/>
          <w:b/>
          <w:sz w:val="52"/>
          <w:szCs w:val="52"/>
        </w:rPr>
      </w:pPr>
    </w:p>
    <w:p>
      <w:pPr>
        <w:spacing w:line="360" w:lineRule="auto"/>
        <w:jc w:val="center"/>
        <w:rPr>
          <w:rFonts w:ascii="宋体" w:hAnsi="宋体"/>
          <w:b/>
          <w:sz w:val="52"/>
          <w:szCs w:val="52"/>
        </w:rPr>
      </w:pPr>
    </w:p>
    <w:p>
      <w:pPr>
        <w:spacing w:line="360" w:lineRule="auto"/>
        <w:jc w:val="center"/>
        <w:rPr>
          <w:rFonts w:ascii="宋体" w:hAnsi="宋体"/>
          <w:sz w:val="26"/>
          <w:szCs w:val="26"/>
        </w:rPr>
      </w:pPr>
      <w:r>
        <w:rPr>
          <w:rFonts w:hint="eastAsia" w:ascii="宋体" w:hAnsi="宋体"/>
          <w:b/>
          <w:sz w:val="52"/>
          <w:szCs w:val="52"/>
        </w:rPr>
        <w:t>《产品技术参数等事项相关约定》</w:t>
      </w:r>
    </w:p>
    <w:p>
      <w:pPr>
        <w:tabs>
          <w:tab w:val="left" w:pos="4035"/>
        </w:tabs>
        <w:spacing w:line="880" w:lineRule="exact"/>
        <w:rPr>
          <w:rFonts w:ascii="宋体" w:hAnsi="宋体"/>
          <w:b/>
          <w:spacing w:val="20"/>
          <w:sz w:val="26"/>
          <w:szCs w:val="26"/>
        </w:rPr>
      </w:pPr>
      <w:r>
        <w:rPr>
          <w:rFonts w:ascii="宋体" w:hAnsi="宋体"/>
          <w:b/>
          <w:spacing w:val="20"/>
          <w:sz w:val="26"/>
          <w:szCs w:val="26"/>
        </w:rPr>
        <w:tab/>
      </w:r>
    </w:p>
    <w:p>
      <w:pPr>
        <w:spacing w:line="480" w:lineRule="exact"/>
        <w:rPr>
          <w:rFonts w:ascii="宋体" w:hAnsi="宋体"/>
          <w:b/>
          <w:sz w:val="26"/>
          <w:szCs w:val="26"/>
        </w:rPr>
      </w:pPr>
    </w:p>
    <w:p>
      <w:pPr>
        <w:spacing w:line="480" w:lineRule="exact"/>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r>
        <w:rPr>
          <w:rFonts w:ascii="宋体" w:hAnsi="宋体"/>
          <w:b/>
          <w:sz w:val="26"/>
          <w:szCs w:val="26"/>
        </w:rPr>
        <mc:AlternateContent>
          <mc:Choice Requires="wps">
            <w:drawing>
              <wp:anchor distT="0" distB="0" distL="114300" distR="114300" simplePos="0" relativeHeight="251660288" behindDoc="0" locked="0" layoutInCell="1" allowOverlap="1">
                <wp:simplePos x="0" y="0"/>
                <wp:positionH relativeFrom="margin">
                  <wp:posOffset>1214755</wp:posOffset>
                </wp:positionH>
                <wp:positionV relativeFrom="paragraph">
                  <wp:posOffset>275590</wp:posOffset>
                </wp:positionV>
                <wp:extent cx="4272915" cy="1084580"/>
                <wp:effectExtent l="0" t="0" r="13335" b="2032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4272915" cy="1084580"/>
                        </a:xfrm>
                        <a:prstGeom prst="rect">
                          <a:avLst/>
                        </a:prstGeom>
                        <a:solidFill>
                          <a:srgbClr val="FFFFFF"/>
                        </a:solidFill>
                        <a:ln w="9525">
                          <a:solidFill>
                            <a:srgbClr val="FFFFFF"/>
                          </a:solidFill>
                          <a:miter lim="800000"/>
                        </a:ln>
                      </wps:spPr>
                      <wps:txbx>
                        <w:txbxContent>
                          <w:p>
                            <w:pPr>
                              <w:rPr>
                                <w:b/>
                                <w:sz w:val="32"/>
                                <w:szCs w:val="32"/>
                                <w:u w:val="single"/>
                              </w:rPr>
                            </w:pPr>
                            <w:r>
                              <w:rPr>
                                <w:rFonts w:hint="eastAsia"/>
                                <w:b/>
                                <w:sz w:val="32"/>
                                <w:szCs w:val="32"/>
                              </w:rPr>
                              <w:t>甲方：</w:t>
                            </w:r>
                            <w:r>
                              <w:rPr>
                                <w:rFonts w:hint="eastAsia"/>
                                <w:bCs/>
                                <w:sz w:val="32"/>
                                <w:szCs w:val="32"/>
                                <w:u w:val="single"/>
                                <w:lang w:val="en-US" w:eastAsia="zh-CN"/>
                              </w:rPr>
                              <w:t>深圳</w:t>
                            </w:r>
                            <w:r>
                              <w:rPr>
                                <w:rFonts w:hint="eastAsia"/>
                                <w:bCs/>
                                <w:sz w:val="32"/>
                                <w:szCs w:val="32"/>
                                <w:u w:val="single"/>
                              </w:rPr>
                              <w:t>先进技术研究院</w:t>
                            </w:r>
                          </w:p>
                          <w:p>
                            <w:pPr>
                              <w:pStyle w:val="9"/>
                              <w:ind w:right="-735" w:rightChars="-350"/>
                              <w:rPr>
                                <w:b/>
                                <w:sz w:val="32"/>
                                <w:szCs w:val="32"/>
                                <w:u w:val="single"/>
                              </w:rPr>
                            </w:pPr>
                            <w:r>
                              <w:rPr>
                                <w:rFonts w:hint="eastAsia"/>
                                <w:b/>
                                <w:sz w:val="32"/>
                                <w:szCs w:val="32"/>
                              </w:rPr>
                              <w:t>乙方：</w:t>
                            </w:r>
                            <w:r>
                              <w:rPr>
                                <w:rFonts w:hint="eastAsia"/>
                                <w:bCs/>
                                <w:sz w:val="32"/>
                                <w:szCs w:val="32"/>
                                <w:u w:val="single"/>
                              </w:rPr>
                              <w:t xml:space="preserve">深圳镁伽科技有限公司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5.65pt;margin-top:21.7pt;height:85.4pt;width:336.45pt;mso-position-horizontal-relative:margin;z-index:251660288;mso-width-relative:page;mso-height-relative:page;" fillcolor="#FFFFFF" filled="t" stroked="t" coordsize="21600,21600" o:gfxdata="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&#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zfoW2AAAAAoBAAAPAAAAAAAAAAEAIAAAACIAAABk&#10;cnMvZG93bnJldi54bWxQSwECFAAUAAAACACHTuJAdkGj/T8CAACIBAAADgAAAAAAAAABACAAAAAn&#10;AQAAZHJzL2Uyb0RvYy54bWxQSwUGAAAAAAYABgBZAQAA2AUAAAAA&#10;">
                <v:fill on="t" focussize="0,0"/>
                <v:stroke color="#FFFFFF" miterlimit="8" joinstyle="miter"/>
                <v:imagedata o:title=""/>
                <o:lock v:ext="edit" aspectratio="f"/>
                <v:textbox>
                  <w:txbxContent>
                    <w:p>
                      <w:pPr>
                        <w:rPr>
                          <w:b/>
                          <w:sz w:val="32"/>
                          <w:szCs w:val="32"/>
                          <w:u w:val="single"/>
                        </w:rPr>
                      </w:pPr>
                      <w:r>
                        <w:rPr>
                          <w:rFonts w:hint="eastAsia"/>
                          <w:b/>
                          <w:sz w:val="32"/>
                          <w:szCs w:val="32"/>
                        </w:rPr>
                        <w:t>甲方：</w:t>
                      </w:r>
                      <w:r>
                        <w:rPr>
                          <w:rFonts w:hint="eastAsia"/>
                          <w:bCs/>
                          <w:sz w:val="32"/>
                          <w:szCs w:val="32"/>
                          <w:u w:val="single"/>
                          <w:lang w:val="en-US" w:eastAsia="zh-CN"/>
                        </w:rPr>
                        <w:t>深圳</w:t>
                      </w:r>
                      <w:r>
                        <w:rPr>
                          <w:rFonts w:hint="eastAsia"/>
                          <w:bCs/>
                          <w:sz w:val="32"/>
                          <w:szCs w:val="32"/>
                          <w:u w:val="single"/>
                        </w:rPr>
                        <w:t>先进技术研究院</w:t>
                      </w:r>
                    </w:p>
                    <w:p>
                      <w:pPr>
                        <w:pStyle w:val="9"/>
                        <w:ind w:right="-735" w:rightChars="-350"/>
                        <w:rPr>
                          <w:b/>
                          <w:sz w:val="32"/>
                          <w:szCs w:val="32"/>
                          <w:u w:val="single"/>
                        </w:rPr>
                      </w:pPr>
                      <w:r>
                        <w:rPr>
                          <w:rFonts w:hint="eastAsia"/>
                          <w:b/>
                          <w:sz w:val="32"/>
                          <w:szCs w:val="32"/>
                        </w:rPr>
                        <w:t>乙方：</w:t>
                      </w:r>
                      <w:r>
                        <w:rPr>
                          <w:rFonts w:hint="eastAsia"/>
                          <w:bCs/>
                          <w:sz w:val="32"/>
                          <w:szCs w:val="32"/>
                          <w:u w:val="single"/>
                        </w:rPr>
                        <w:t xml:space="preserve">深圳镁伽科技有限公司    </w:t>
                      </w:r>
                    </w:p>
                  </w:txbxContent>
                </v:textbox>
              </v:shape>
            </w:pict>
          </mc:Fallback>
        </mc:AlternateContent>
      </w: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ind w:right="-1048" w:firstLine="1044" w:firstLineChars="400"/>
        <w:rPr>
          <w:rFonts w:ascii="宋体" w:hAnsi="宋体"/>
          <w:b/>
          <w:sz w:val="26"/>
          <w:szCs w:val="26"/>
        </w:rPr>
      </w:pPr>
    </w:p>
    <w:p>
      <w:pPr>
        <w:pStyle w:val="11"/>
        <w:jc w:val="center"/>
        <w:rPr>
          <w:sz w:val="28"/>
        </w:rPr>
      </w:pPr>
      <w:r>
        <w:rPr>
          <w:rFonts w:hint="eastAsia"/>
          <w:sz w:val="28"/>
        </w:rPr>
        <w:t>目录</w:t>
      </w:r>
    </w:p>
    <w:p>
      <w:pPr>
        <w:pStyle w:val="11"/>
        <w:tabs>
          <w:tab w:val="right" w:leader="hyphen" w:pos="9967"/>
        </w:tabs>
        <w:rPr>
          <w:rFonts w:asciiTheme="minorHAnsi" w:hAnsiTheme="minorHAnsi" w:eastAsiaTheme="minorEastAsia" w:cstheme="minorBidi"/>
          <w:b w:val="0"/>
          <w:bCs w:val="0"/>
          <w:caps w:val="0"/>
          <w:sz w:val="21"/>
          <w:szCs w:val="22"/>
        </w:rPr>
      </w:pPr>
      <w:r>
        <w:rPr>
          <w:rFonts w:ascii="宋体" w:hAnsi="宋体"/>
          <w:b w:val="0"/>
          <w:bCs w:val="0"/>
          <w:caps w:val="0"/>
          <w:sz w:val="26"/>
          <w:szCs w:val="26"/>
        </w:rPr>
        <w:fldChar w:fldCharType="begin"/>
      </w:r>
      <w:r>
        <w:rPr>
          <w:rFonts w:ascii="宋体" w:hAnsi="宋体"/>
          <w:b w:val="0"/>
          <w:bCs w:val="0"/>
          <w:caps w:val="0"/>
          <w:sz w:val="26"/>
          <w:szCs w:val="26"/>
        </w:rPr>
        <w:instrText xml:space="preserve"> TOC \o "1-1" \u </w:instrText>
      </w:r>
      <w:r>
        <w:rPr>
          <w:rFonts w:ascii="宋体" w:hAnsi="宋体"/>
          <w:b w:val="0"/>
          <w:bCs w:val="0"/>
          <w:caps w:val="0"/>
          <w:sz w:val="26"/>
          <w:szCs w:val="26"/>
        </w:rPr>
        <w:fldChar w:fldCharType="separate"/>
      </w:r>
      <w:r>
        <w:t>一、项目综述</w:t>
      </w:r>
      <w:r>
        <w:tab/>
      </w:r>
      <w:r>
        <w:fldChar w:fldCharType="begin"/>
      </w:r>
      <w:r>
        <w:instrText xml:space="preserve"> PAGEREF _Toc85544712 \h </w:instrText>
      </w:r>
      <w:r>
        <w:fldChar w:fldCharType="separate"/>
      </w:r>
      <w:r>
        <w:t>1</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二、适用范围</w:t>
      </w:r>
      <w:r>
        <w:tab/>
      </w:r>
      <w:r>
        <w:fldChar w:fldCharType="begin"/>
      </w:r>
      <w:r>
        <w:instrText xml:space="preserve"> PAGEREF _Toc85544713 \h </w:instrText>
      </w:r>
      <w:r>
        <w:fldChar w:fldCharType="separate"/>
      </w:r>
      <w:r>
        <w:t>1</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三、整体概览</w:t>
      </w:r>
      <w:r>
        <w:tab/>
      </w:r>
      <w:r>
        <w:fldChar w:fldCharType="begin"/>
      </w:r>
      <w:r>
        <w:instrText xml:space="preserve"> PAGEREF _Toc85544714 \h </w:instrText>
      </w:r>
      <w:r>
        <w:fldChar w:fldCharType="separate"/>
      </w:r>
      <w:r>
        <w:t>1</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四、主要技术参数及指标要求</w:t>
      </w:r>
      <w:r>
        <w:tab/>
      </w:r>
      <w:r>
        <w:fldChar w:fldCharType="begin"/>
      </w:r>
      <w:r>
        <w:instrText xml:space="preserve"> PAGEREF _Toc85544715 \h </w:instrText>
      </w:r>
      <w:r>
        <w:fldChar w:fldCharType="separate"/>
      </w:r>
      <w:r>
        <w:t>2</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rPr>
          <w:rFonts w:ascii="Calibri" w:hAnsi="Calibri"/>
        </w:rPr>
        <w:t>五、</w:t>
      </w:r>
      <w:r>
        <w:t>设备工艺流程</w:t>
      </w:r>
      <w:r>
        <w:tab/>
      </w:r>
      <w:r>
        <w:fldChar w:fldCharType="begin"/>
      </w:r>
      <w:r>
        <w:instrText xml:space="preserve"> PAGEREF _Toc85544716 \h </w:instrText>
      </w:r>
      <w:r>
        <w:fldChar w:fldCharType="separate"/>
      </w:r>
      <w:r>
        <w:t>3</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六、设备与组件说明</w:t>
      </w:r>
      <w:r>
        <w:tab/>
      </w:r>
      <w:r>
        <w:fldChar w:fldCharType="begin"/>
      </w:r>
      <w:r>
        <w:instrText xml:space="preserve"> PAGEREF _Toc85544717 \h </w:instrText>
      </w:r>
      <w:r>
        <w:fldChar w:fldCharType="separate"/>
      </w:r>
      <w:r>
        <w:t>3</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七、主要元器件品牌</w:t>
      </w:r>
      <w:r>
        <w:tab/>
      </w:r>
      <w:r>
        <w:fldChar w:fldCharType="begin"/>
      </w:r>
      <w:r>
        <w:instrText xml:space="preserve"> PAGEREF _Toc85544718 \h </w:instrText>
      </w:r>
      <w:r>
        <w:fldChar w:fldCharType="separate"/>
      </w:r>
      <w:r>
        <w:t>4</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八、验收</w:t>
      </w:r>
      <w:r>
        <w:tab/>
      </w:r>
      <w:r>
        <w:fldChar w:fldCharType="begin"/>
      </w:r>
      <w:r>
        <w:instrText xml:space="preserve"> PAGEREF _Toc85544719 \h </w:instrText>
      </w:r>
      <w:r>
        <w:fldChar w:fldCharType="separate"/>
      </w:r>
      <w:r>
        <w:t>4</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rPr>
          <w:rFonts w:ascii="宋体" w:hAnsi="宋体" w:cs="Arial"/>
        </w:rPr>
        <w:t>九、双方责任</w:t>
      </w:r>
      <w:r>
        <w:tab/>
      </w:r>
      <w:r>
        <w:fldChar w:fldCharType="begin"/>
      </w:r>
      <w:r>
        <w:instrText xml:space="preserve"> PAGEREF _Toc85544720 \h </w:instrText>
      </w:r>
      <w:r>
        <w:fldChar w:fldCharType="separate"/>
      </w:r>
      <w:r>
        <w:t>5</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rPr>
          <w:rFonts w:ascii="宋体" w:hAnsi="宋体" w:cs="Arial"/>
        </w:rPr>
        <w:t>十、交货期</w:t>
      </w:r>
      <w:r>
        <w:tab/>
      </w:r>
      <w:r>
        <w:fldChar w:fldCharType="begin"/>
      </w:r>
      <w:r>
        <w:instrText xml:space="preserve"> PAGEREF _Toc85544721 \h </w:instrText>
      </w:r>
      <w:r>
        <w:fldChar w:fldCharType="separate"/>
      </w:r>
      <w:r>
        <w:t>6</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十一、陪产服务</w:t>
      </w:r>
      <w:r>
        <w:tab/>
      </w:r>
      <w:r>
        <w:fldChar w:fldCharType="begin"/>
      </w:r>
      <w:r>
        <w:instrText xml:space="preserve"> PAGEREF _Toc85544722 \h </w:instrText>
      </w:r>
      <w:r>
        <w:fldChar w:fldCharType="separate"/>
      </w:r>
      <w:r>
        <w:t>6</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十二、质保</w:t>
      </w:r>
      <w:r>
        <w:tab/>
      </w:r>
      <w:r>
        <w:fldChar w:fldCharType="begin"/>
      </w:r>
      <w:r>
        <w:instrText xml:space="preserve"> PAGEREF _Toc85544723 \h </w:instrText>
      </w:r>
      <w:r>
        <w:fldChar w:fldCharType="separate"/>
      </w:r>
      <w:r>
        <w:t>7</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rPr>
          <w:rFonts w:ascii="宋体" w:hAnsi="宋体"/>
        </w:rPr>
        <w:t>十三、</w:t>
      </w:r>
      <w:r>
        <w:t>售后服务</w:t>
      </w:r>
      <w:r>
        <w:tab/>
      </w:r>
      <w:r>
        <w:fldChar w:fldCharType="begin"/>
      </w:r>
      <w:r>
        <w:instrText xml:space="preserve"> PAGEREF _Toc85544724 \h </w:instrText>
      </w:r>
      <w:r>
        <w:fldChar w:fldCharType="separate"/>
      </w:r>
      <w:r>
        <w:t>7</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十四、知识产权</w:t>
      </w:r>
      <w:r>
        <w:tab/>
      </w:r>
      <w:r>
        <w:fldChar w:fldCharType="begin"/>
      </w:r>
      <w:r>
        <w:instrText xml:space="preserve"> PAGEREF _Toc85544725 \h </w:instrText>
      </w:r>
      <w:r>
        <w:fldChar w:fldCharType="separate"/>
      </w:r>
      <w:r>
        <w:t>7</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十五、保密义务</w:t>
      </w:r>
      <w:r>
        <w:tab/>
      </w:r>
      <w:r>
        <w:fldChar w:fldCharType="begin"/>
      </w:r>
      <w:r>
        <w:instrText xml:space="preserve"> PAGEREF _Toc85544726 \h </w:instrText>
      </w:r>
      <w:r>
        <w:fldChar w:fldCharType="separate"/>
      </w:r>
      <w:r>
        <w:t>8</w:t>
      </w:r>
      <w:r>
        <w:fldChar w:fldCharType="end"/>
      </w:r>
    </w:p>
    <w:p>
      <w:pPr>
        <w:pStyle w:val="11"/>
        <w:tabs>
          <w:tab w:val="right" w:leader="hyphen" w:pos="9967"/>
        </w:tabs>
        <w:rPr>
          <w:rFonts w:asciiTheme="minorHAnsi" w:hAnsiTheme="minorHAnsi" w:eastAsiaTheme="minorEastAsia" w:cstheme="minorBidi"/>
          <w:b w:val="0"/>
          <w:bCs w:val="0"/>
          <w:caps w:val="0"/>
          <w:sz w:val="21"/>
          <w:szCs w:val="22"/>
        </w:rPr>
      </w:pPr>
      <w:r>
        <w:t>十六、其他</w:t>
      </w:r>
      <w:r>
        <w:tab/>
      </w:r>
      <w:r>
        <w:fldChar w:fldCharType="begin"/>
      </w:r>
      <w:r>
        <w:instrText xml:space="preserve"> PAGEREF _Toc85544727 \h </w:instrText>
      </w:r>
      <w:r>
        <w:fldChar w:fldCharType="separate"/>
      </w:r>
      <w:r>
        <w:t>8</w:t>
      </w:r>
      <w:r>
        <w:fldChar w:fldCharType="end"/>
      </w:r>
    </w:p>
    <w:p>
      <w:pPr>
        <w:tabs>
          <w:tab w:val="right" w:leader="hyphen" w:pos="9072"/>
        </w:tabs>
        <w:spacing w:line="360" w:lineRule="auto"/>
        <w:ind w:right="-1048" w:firstLine="994" w:firstLineChars="381"/>
        <w:rPr>
          <w:rFonts w:ascii="宋体" w:hAnsi="宋体"/>
          <w:b/>
          <w:sz w:val="26"/>
          <w:szCs w:val="26"/>
        </w:rPr>
      </w:pPr>
      <w:r>
        <w:rPr>
          <w:rFonts w:ascii="宋体" w:hAnsi="宋体"/>
          <w:b/>
          <w:bCs/>
          <w:caps/>
          <w:sz w:val="26"/>
          <w:szCs w:val="26"/>
        </w:rPr>
        <w:fldChar w:fldCharType="end"/>
      </w:r>
    </w:p>
    <w:p>
      <w:pPr>
        <w:pStyle w:val="36"/>
        <w:rPr>
          <w:rFonts w:ascii="宋体" w:hAnsi="宋体"/>
          <w:b/>
          <w:bCs/>
          <w:sz w:val="21"/>
          <w:szCs w:val="22"/>
        </w:rPr>
      </w:pPr>
      <w:bookmarkStart w:id="0" w:name="_Toc427575934"/>
      <w:bookmarkStart w:id="1" w:name="_Toc85544712"/>
      <w:bookmarkStart w:id="2" w:name="_Toc425289830"/>
      <w:bookmarkStart w:id="3" w:name="_Toc414957890"/>
      <w:r>
        <w:rPr>
          <w:rFonts w:hint="eastAsia"/>
        </w:rPr>
        <w:t>一、项目综述</w:t>
      </w:r>
      <w:bookmarkEnd w:id="0"/>
      <w:bookmarkEnd w:id="1"/>
      <w:bookmarkEnd w:id="2"/>
      <w:bookmarkEnd w:id="3"/>
    </w:p>
    <w:p>
      <w:pPr>
        <w:pStyle w:val="38"/>
        <w:ind w:firstLine="420"/>
        <w:rPr>
          <w:rFonts w:hint="eastAsia" w:eastAsia="宋体"/>
          <w:lang w:eastAsia="zh-CN"/>
        </w:rPr>
      </w:pPr>
      <w:r>
        <w:rPr>
          <w:rFonts w:hint="eastAsia"/>
        </w:rPr>
        <w:t>此项目主要解决完成培养基皿自动放料推进、培养基液自动加液，通过视觉判定细菌生长轨迹前锋，从而淘汰生长落后的细菌，以此筛选细菌</w:t>
      </w:r>
      <w:r>
        <w:rPr>
          <w:rFonts w:hint="eastAsia"/>
          <w:lang w:eastAsia="zh-CN"/>
        </w:rPr>
        <w:t>。</w:t>
      </w:r>
    </w:p>
    <w:p>
      <w:pPr>
        <w:pStyle w:val="38"/>
        <w:ind w:firstLine="420"/>
      </w:pPr>
    </w:p>
    <w:p>
      <w:pPr>
        <w:pStyle w:val="38"/>
        <w:ind w:firstLine="420"/>
      </w:pPr>
      <w:r>
        <w:rPr>
          <w:rFonts w:hint="eastAsia"/>
        </w:rPr>
        <w:t>本技术协议适用于</w:t>
      </w:r>
      <w:r>
        <w:rPr>
          <w:rFonts w:hint="eastAsia"/>
          <w:szCs w:val="21"/>
        </w:rPr>
        <w:t>深圳镁伽科技有限公司</w:t>
      </w:r>
      <w:r>
        <w:rPr>
          <w:rFonts w:hint="eastAsia"/>
        </w:rPr>
        <w:t>（以下简称乙方）为</w:t>
      </w:r>
      <w:r>
        <w:rPr>
          <w:rFonts w:hint="eastAsia"/>
          <w:szCs w:val="21"/>
        </w:rPr>
        <w:t>中国科学院深圳先进技术研究院</w:t>
      </w:r>
      <w:r>
        <w:rPr>
          <w:rFonts w:hint="eastAsia"/>
          <w:szCs w:val="21"/>
          <w:lang w:eastAsia="zh-CN"/>
        </w:rPr>
        <w:t>（</w:t>
      </w:r>
      <w:r>
        <w:rPr>
          <w:rFonts w:hint="eastAsia"/>
        </w:rPr>
        <w:t>以下简称甲方）设计制造的</w:t>
      </w:r>
      <w:r>
        <w:rPr>
          <w:rFonts w:hint="eastAsia"/>
          <w:u w:val="single"/>
        </w:rPr>
        <w:t>细菌跑步机</w:t>
      </w:r>
      <w:r>
        <w:rPr>
          <w:rFonts w:hint="eastAsia"/>
        </w:rPr>
        <w:t>设备，此技术协议为该设备设计和制造的技术依据，并作为后续验证工作的基础。</w:t>
      </w:r>
    </w:p>
    <w:p>
      <w:pPr>
        <w:pStyle w:val="36"/>
      </w:pPr>
      <w:bookmarkStart w:id="4" w:name="_Toc85544713"/>
      <w:r>
        <w:rPr>
          <w:rFonts w:hint="eastAsia"/>
        </w:rPr>
        <w:t>二、适用范围</w:t>
      </w:r>
      <w:bookmarkEnd w:id="4"/>
    </w:p>
    <w:p>
      <w:pPr>
        <w:pStyle w:val="37"/>
      </w:pPr>
      <w:r>
        <w:rPr>
          <w:rFonts w:hint="eastAsia"/>
        </w:rPr>
        <w:t>2</w:t>
      </w:r>
      <w:r>
        <w:t xml:space="preserve">.1 </w:t>
      </w:r>
      <w:r>
        <w:rPr>
          <w:rFonts w:hint="eastAsia"/>
        </w:rPr>
        <w:t>样品瓶及分析瓶</w:t>
      </w:r>
    </w:p>
    <w:p>
      <w:pPr>
        <w:pStyle w:val="38"/>
        <w:ind w:firstLine="420"/>
        <w:rPr>
          <w:rFonts w:hint="eastAsia" w:eastAsia="宋体"/>
          <w:i w:val="0"/>
          <w:color w:val="auto"/>
          <w:lang w:eastAsia="zh-CN"/>
        </w:rPr>
      </w:pPr>
      <w:r>
        <w:rPr>
          <w:rFonts w:hint="eastAsia"/>
          <w:i w:val="0"/>
          <w:color w:val="auto"/>
        </w:rPr>
        <w:t>定制的培养基皿（乙方提供）</w:t>
      </w:r>
      <w:r>
        <w:rPr>
          <w:rFonts w:hint="eastAsia"/>
          <w:i w:val="0"/>
          <w:color w:val="auto"/>
          <w:lang w:eastAsia="zh-CN"/>
        </w:rPr>
        <w:t>。</w:t>
      </w:r>
    </w:p>
    <w:p>
      <w:pPr>
        <w:pStyle w:val="37"/>
      </w:pPr>
      <w:r>
        <w:rPr>
          <w:rFonts w:hint="eastAsia"/>
        </w:rPr>
        <w:t>2</w:t>
      </w:r>
      <w:r>
        <w:t xml:space="preserve">.2 </w:t>
      </w:r>
      <w:r>
        <w:rPr>
          <w:rFonts w:hint="eastAsia"/>
        </w:rPr>
        <w:t>试剂</w:t>
      </w:r>
    </w:p>
    <w:p>
      <w:pPr>
        <w:pStyle w:val="38"/>
        <w:ind w:firstLine="420"/>
        <w:rPr>
          <w:rFonts w:hint="eastAsia" w:eastAsia="宋体"/>
          <w:lang w:eastAsia="zh-CN"/>
        </w:rPr>
      </w:pPr>
      <w:r>
        <w:rPr>
          <w:rFonts w:hint="eastAsia"/>
        </w:rPr>
        <w:t>客户提供的透明胶状培养液，3</w:t>
      </w:r>
      <w:r>
        <w:t>0</w:t>
      </w:r>
      <w:r>
        <w:rPr>
          <w:rFonts w:hint="eastAsia"/>
        </w:rPr>
        <w:t>℃温度条件下静止3</w:t>
      </w:r>
      <w:r>
        <w:t>0</w:t>
      </w:r>
      <w:r>
        <w:rPr>
          <w:rFonts w:hint="eastAsia"/>
        </w:rPr>
        <w:t>min可凝固</w:t>
      </w:r>
      <w:r>
        <w:rPr>
          <w:rFonts w:hint="eastAsia"/>
          <w:lang w:eastAsia="zh-CN"/>
        </w:rPr>
        <w:t>。</w:t>
      </w:r>
    </w:p>
    <w:p>
      <w:pPr>
        <w:pStyle w:val="37"/>
      </w:pPr>
      <w:r>
        <w:rPr>
          <w:rFonts w:hint="eastAsia"/>
        </w:rPr>
        <w:t>2.</w:t>
      </w:r>
      <w:r>
        <w:t>3</w:t>
      </w:r>
      <w:r>
        <w:rPr>
          <w:rFonts w:hint="eastAsia"/>
        </w:rPr>
        <w:tab/>
      </w:r>
      <w:r>
        <w:rPr>
          <w:rFonts w:hint="eastAsia"/>
        </w:rPr>
        <w:t>通量/速度要求</w:t>
      </w:r>
    </w:p>
    <w:p>
      <w:pPr>
        <w:pStyle w:val="38"/>
        <w:ind w:firstLine="420"/>
      </w:pPr>
      <w:r>
        <w:rPr>
          <w:rFonts w:hint="eastAsia" w:ascii="宋体" w:hAnsi="宋体" w:eastAsia="宋体"/>
        </w:rPr>
        <w:t>约</w:t>
      </w:r>
      <w:r>
        <w:rPr>
          <w:rFonts w:ascii="宋体" w:hAnsi="宋体" w:eastAsia="宋体"/>
        </w:rPr>
        <w:t>4-6小时换一次</w:t>
      </w:r>
      <w:r>
        <w:rPr>
          <w:rFonts w:hint="eastAsia"/>
        </w:rPr>
        <w:t>培养基皿</w:t>
      </w:r>
      <w:r>
        <w:rPr>
          <w:rFonts w:ascii="宋体" w:hAnsi="宋体" w:eastAsia="宋体"/>
        </w:rPr>
        <w:t>，一次上料满足72-96小时使用</w:t>
      </w:r>
      <w:r>
        <w:rPr>
          <w:rFonts w:hint="eastAsia" w:ascii="微软雅黑" w:hAnsi="微软雅黑" w:eastAsia="微软雅黑"/>
        </w:rPr>
        <w:t>。</w:t>
      </w:r>
      <w:r>
        <w:rPr>
          <w:rFonts w:hint="eastAsia"/>
        </w:rPr>
        <w:t>根据实际的细菌生长速度设备自动控制推板的节拍。注：视觉拍照时间间隔由人工调整。</w:t>
      </w:r>
    </w:p>
    <w:p>
      <w:pPr>
        <w:pStyle w:val="37"/>
      </w:pPr>
      <w:r>
        <w:rPr>
          <w:rFonts w:hint="eastAsia"/>
        </w:rPr>
        <w:t>2.</w:t>
      </w:r>
      <w:r>
        <w:t>4</w:t>
      </w:r>
      <w:r>
        <w:rPr>
          <w:rFonts w:hint="eastAsia"/>
        </w:rPr>
        <w:tab/>
      </w:r>
      <w:r>
        <w:rPr>
          <w:rFonts w:hint="eastAsia"/>
        </w:rPr>
        <w:t>第三方设备</w:t>
      </w:r>
    </w:p>
    <w:p>
      <w:pPr>
        <w:pStyle w:val="38"/>
        <w:ind w:firstLine="420" w:firstLineChars="200"/>
        <w:rPr>
          <w:i w:val="0"/>
          <w:color w:val="auto"/>
        </w:rPr>
      </w:pPr>
      <w:r>
        <w:rPr>
          <w:rFonts w:hint="eastAsia"/>
          <w:bCs w:val="0"/>
          <w:i w:val="0"/>
          <w:color w:val="auto"/>
        </w:rPr>
        <w:t>无</w:t>
      </w:r>
    </w:p>
    <w:p>
      <w:pPr>
        <w:pStyle w:val="37"/>
      </w:pPr>
      <w:r>
        <w:rPr>
          <w:rFonts w:hint="eastAsia"/>
        </w:rPr>
        <w:t>2</w:t>
      </w:r>
      <w:r>
        <w:t xml:space="preserve">.5 </w:t>
      </w:r>
      <w:r>
        <w:rPr>
          <w:rFonts w:hint="eastAsia"/>
        </w:rPr>
        <w:t xml:space="preserve">其他要求 </w:t>
      </w:r>
    </w:p>
    <w:p>
      <w:pPr>
        <w:pStyle w:val="38"/>
        <w:ind w:firstLine="420"/>
        <w:rPr>
          <w:i w:val="0"/>
          <w:color w:val="auto"/>
        </w:rPr>
      </w:pPr>
      <w:r>
        <w:rPr>
          <w:rFonts w:hint="eastAsia"/>
        </w:rPr>
        <w:t>1、</w:t>
      </w:r>
      <w:r>
        <w:rPr>
          <w:rFonts w:hint="eastAsia"/>
          <w:i w:val="0"/>
          <w:color w:val="auto"/>
        </w:rPr>
        <w:t>培养基液缺料报警</w:t>
      </w:r>
      <w:r>
        <w:rPr>
          <w:rFonts w:hint="eastAsia"/>
          <w:i w:val="0"/>
          <w:color w:val="auto"/>
          <w:lang w:eastAsia="zh-CN"/>
        </w:rPr>
        <w:t>。</w:t>
      </w:r>
      <w:r>
        <w:rPr>
          <w:i w:val="0"/>
          <w:color w:val="auto"/>
        </w:rPr>
        <w:t xml:space="preserve"> </w:t>
      </w:r>
    </w:p>
    <w:p>
      <w:pPr>
        <w:pStyle w:val="38"/>
        <w:ind w:firstLine="420" w:firstLineChars="200"/>
        <w:rPr>
          <w:rFonts w:hint="eastAsia" w:eastAsia="宋体"/>
          <w:bCs w:val="0"/>
          <w:i w:val="0"/>
          <w:color w:val="auto"/>
          <w:lang w:eastAsia="zh-CN"/>
        </w:rPr>
      </w:pPr>
      <w:r>
        <w:rPr>
          <w:rFonts w:hint="eastAsia"/>
        </w:rPr>
        <w:t>2、培养基皿缺料报警</w:t>
      </w:r>
      <w:r>
        <w:rPr>
          <w:rFonts w:hint="eastAsia"/>
          <w:lang w:eastAsia="zh-CN"/>
        </w:rPr>
        <w:t>。</w:t>
      </w:r>
    </w:p>
    <w:p>
      <w:pPr>
        <w:pStyle w:val="36"/>
      </w:pPr>
      <w:bookmarkStart w:id="5" w:name="_Toc85544714"/>
      <w:r>
        <w:rPr>
          <w:rFonts w:hint="eastAsia"/>
        </w:rPr>
        <w:t>三、整体概览</w:t>
      </w:r>
      <w:bookmarkEnd w:id="5"/>
    </w:p>
    <w:p>
      <w:pPr>
        <w:pStyle w:val="37"/>
      </w:pPr>
      <w:r>
        <w:t xml:space="preserve">3.1 </w:t>
      </w:r>
      <w:r>
        <w:rPr>
          <w:rFonts w:hint="eastAsia"/>
        </w:rPr>
        <w:t>整体尺寸</w:t>
      </w:r>
    </w:p>
    <w:p>
      <w:pPr>
        <w:ind w:left="420"/>
        <w:rPr>
          <w:rFonts w:ascii="宋体" w:hAnsi="宋体"/>
          <w:szCs w:val="22"/>
        </w:rPr>
      </w:pPr>
      <w:r>
        <w:rPr>
          <w:rFonts w:ascii="宋体" w:hAnsi="宋体"/>
          <w:b/>
          <w:szCs w:val="22"/>
        </w:rPr>
        <w:t xml:space="preserve">3.1.1 </w:t>
      </w:r>
      <w:r>
        <w:rPr>
          <w:rFonts w:hint="eastAsia" w:ascii="宋体" w:hAnsi="宋体"/>
          <w:b/>
          <w:szCs w:val="22"/>
        </w:rPr>
        <w:t>细菌跑步机系统设备尺寸约为</w:t>
      </w:r>
      <w:r>
        <w:rPr>
          <w:rFonts w:ascii="宋体" w:hAnsi="宋体"/>
          <w:szCs w:val="22"/>
          <w:u w:val="single"/>
        </w:rPr>
        <w:t xml:space="preserve">   700  </w:t>
      </w:r>
      <w:r>
        <w:rPr>
          <w:rFonts w:hint="eastAsia" w:ascii="宋体" w:hAnsi="宋体"/>
          <w:szCs w:val="22"/>
          <w:u w:val="single"/>
        </w:rPr>
        <w:t>mm</w:t>
      </w:r>
      <w:r>
        <w:rPr>
          <w:rFonts w:hint="eastAsia" w:ascii="宋体" w:hAnsi="宋体"/>
          <w:szCs w:val="22"/>
        </w:rPr>
        <w:t>（L） x</w:t>
      </w:r>
      <w:r>
        <w:rPr>
          <w:rFonts w:ascii="宋体" w:hAnsi="宋体"/>
          <w:szCs w:val="22"/>
          <w:u w:val="single"/>
        </w:rPr>
        <w:t xml:space="preserve">   300  </w:t>
      </w:r>
      <w:r>
        <w:rPr>
          <w:rFonts w:hint="eastAsia" w:ascii="宋体" w:hAnsi="宋体"/>
          <w:szCs w:val="22"/>
        </w:rPr>
        <w:t>mm（W） x</w:t>
      </w:r>
      <w:r>
        <w:rPr>
          <w:rFonts w:ascii="宋体" w:hAnsi="宋体"/>
          <w:szCs w:val="22"/>
        </w:rPr>
        <w:t xml:space="preserve"> </w:t>
      </w:r>
      <w:r>
        <w:rPr>
          <w:rFonts w:ascii="宋体" w:hAnsi="宋体"/>
          <w:szCs w:val="22"/>
          <w:u w:val="single"/>
        </w:rPr>
        <w:t xml:space="preserve">  600  </w:t>
      </w:r>
      <w:r>
        <w:rPr>
          <w:rFonts w:hint="eastAsia" w:ascii="宋体" w:hAnsi="宋体"/>
          <w:szCs w:val="22"/>
        </w:rPr>
        <w:t>m（H）在，主图外观如下：</w:t>
      </w:r>
    </w:p>
    <w:p>
      <w:pPr>
        <w:ind w:left="420"/>
        <w:jc w:val="center"/>
        <w:rPr>
          <w:rFonts w:ascii="宋体" w:hAnsi="宋体"/>
          <w:szCs w:val="22"/>
        </w:rPr>
      </w:pPr>
      <w:r>
        <w:rPr>
          <w:rFonts w:ascii="宋体" w:hAnsi="宋体"/>
          <w:szCs w:val="22"/>
        </w:rPr>
        <w:drawing>
          <wp:inline distT="0" distB="0" distL="0" distR="0">
            <wp:extent cx="3917315" cy="326834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8778" cy="3278148"/>
                    </a:xfrm>
                    <a:prstGeom prst="rect">
                      <a:avLst/>
                    </a:prstGeom>
                  </pic:spPr>
                </pic:pic>
              </a:graphicData>
            </a:graphic>
          </wp:inline>
        </w:drawing>
      </w:r>
    </w:p>
    <w:p>
      <w:pPr>
        <w:ind w:left="420"/>
        <w:rPr>
          <w:rFonts w:ascii="宋体" w:hAnsi="宋体"/>
          <w:szCs w:val="22"/>
        </w:rPr>
      </w:pPr>
    </w:p>
    <w:p>
      <w:pPr>
        <w:pStyle w:val="38"/>
        <w:ind w:firstLine="420"/>
      </w:pPr>
      <w:r>
        <w:rPr>
          <w:rFonts w:hint="eastAsia"/>
        </w:rPr>
        <w:t>注意：根据具体设计，方案可能会有调整。</w:t>
      </w:r>
    </w:p>
    <w:p>
      <w:pPr>
        <w:pStyle w:val="36"/>
      </w:pPr>
      <w:bookmarkStart w:id="6" w:name="_Toc85544715"/>
      <w:r>
        <w:rPr>
          <w:rFonts w:hint="eastAsia"/>
        </w:rPr>
        <w:t>四、主要技术参数及指标要求</w:t>
      </w:r>
      <w:bookmarkEnd w:id="6"/>
    </w:p>
    <w:tbl>
      <w:tblPr>
        <w:tblStyle w:val="21"/>
        <w:tblW w:w="9629" w:type="dxa"/>
        <w:jc w:val="center"/>
        <w:tblLayout w:type="fixed"/>
        <w:tblCellMar>
          <w:top w:w="0" w:type="dxa"/>
          <w:left w:w="0" w:type="dxa"/>
          <w:bottom w:w="0" w:type="dxa"/>
          <w:right w:w="0" w:type="dxa"/>
        </w:tblCellMar>
      </w:tblPr>
      <w:tblGrid>
        <w:gridCol w:w="699"/>
        <w:gridCol w:w="567"/>
        <w:gridCol w:w="2268"/>
        <w:gridCol w:w="3544"/>
        <w:gridCol w:w="2551"/>
      </w:tblGrid>
      <w:tr>
        <w:tblPrEx>
          <w:tblCellMar>
            <w:top w:w="0" w:type="dxa"/>
            <w:left w:w="0" w:type="dxa"/>
            <w:bottom w:w="0" w:type="dxa"/>
            <w:right w:w="0" w:type="dxa"/>
          </w:tblCellMar>
        </w:tblPrEx>
        <w:trPr>
          <w:trHeight w:val="283" w:hRule="atLeast"/>
          <w:tblHeader/>
          <w:jc w:val="center"/>
        </w:trPr>
        <w:tc>
          <w:tcPr>
            <w:tcW w:w="699" w:type="dxa"/>
            <w:tcBorders>
              <w:top w:val="single" w:color="000000" w:sz="8" w:space="0"/>
              <w:left w:val="single" w:color="000000" w:sz="8" w:space="0"/>
              <w:bottom w:val="single" w:color="000000" w:sz="4" w:space="0"/>
              <w:right w:val="single" w:color="000000" w:sz="4" w:space="0"/>
            </w:tcBorders>
            <w:shd w:val="clear" w:color="auto" w:fill="F1F1F1" w:themeFill="background1" w:themeFillShade="F2"/>
            <w:tcMar>
              <w:top w:w="15" w:type="dxa"/>
              <w:left w:w="15" w:type="dxa"/>
              <w:bottom w:w="0" w:type="dxa"/>
              <w:right w:w="15" w:type="dxa"/>
            </w:tcMar>
            <w:vAlign w:val="center"/>
          </w:tcPr>
          <w:p>
            <w:pPr>
              <w:snapToGrid w:val="0"/>
              <w:spacing w:line="360" w:lineRule="auto"/>
              <w:jc w:val="center"/>
              <w:rPr>
                <w:rFonts w:ascii="宋体" w:hAnsi="宋体"/>
                <w:b/>
                <w:szCs w:val="21"/>
              </w:rPr>
            </w:pPr>
            <w:r>
              <w:rPr>
                <w:rFonts w:hint="eastAsia" w:ascii="宋体" w:hAnsi="宋体"/>
                <w:b/>
                <w:bCs/>
                <w:szCs w:val="21"/>
              </w:rPr>
              <w:t>编号</w:t>
            </w:r>
          </w:p>
        </w:tc>
        <w:tc>
          <w:tcPr>
            <w:tcW w:w="567" w:type="dxa"/>
            <w:tcBorders>
              <w:top w:val="single" w:color="000000" w:sz="8" w:space="0"/>
              <w:left w:val="single" w:color="000000" w:sz="4" w:space="0"/>
              <w:bottom w:val="single" w:color="000000" w:sz="4" w:space="0"/>
              <w:right w:val="single" w:color="000000" w:sz="4" w:space="0"/>
            </w:tcBorders>
            <w:shd w:val="clear" w:color="auto" w:fill="F1F1F1" w:themeFill="background1" w:themeFillShade="F2"/>
          </w:tcPr>
          <w:p>
            <w:pPr>
              <w:snapToGrid w:val="0"/>
              <w:spacing w:line="360" w:lineRule="auto"/>
              <w:jc w:val="center"/>
              <w:rPr>
                <w:rFonts w:ascii="宋体" w:hAnsi="宋体"/>
                <w:b/>
                <w:bCs/>
                <w:szCs w:val="21"/>
              </w:rPr>
            </w:pPr>
            <w:r>
              <w:rPr>
                <w:rFonts w:hint="eastAsia" w:ascii="宋体" w:hAnsi="宋体"/>
                <w:b/>
                <w:bCs/>
                <w:szCs w:val="21"/>
              </w:rPr>
              <w:t>分类</w:t>
            </w:r>
          </w:p>
        </w:tc>
        <w:tc>
          <w:tcPr>
            <w:tcW w:w="2268" w:type="dxa"/>
            <w:tcBorders>
              <w:top w:val="single" w:color="000000" w:sz="8" w:space="0"/>
              <w:left w:val="single" w:color="000000" w:sz="4" w:space="0"/>
              <w:bottom w:val="single" w:color="000000" w:sz="4" w:space="0"/>
              <w:right w:val="single" w:color="000000" w:sz="4" w:space="0"/>
            </w:tcBorders>
            <w:shd w:val="clear" w:color="auto" w:fill="F1F1F1" w:themeFill="background1" w:themeFillShade="F2"/>
            <w:tcMar>
              <w:top w:w="15" w:type="dxa"/>
              <w:left w:w="15" w:type="dxa"/>
              <w:bottom w:w="0" w:type="dxa"/>
              <w:right w:w="15" w:type="dxa"/>
            </w:tcMar>
            <w:vAlign w:val="center"/>
          </w:tcPr>
          <w:p>
            <w:pPr>
              <w:snapToGrid w:val="0"/>
              <w:spacing w:line="360" w:lineRule="auto"/>
              <w:jc w:val="center"/>
              <w:rPr>
                <w:rFonts w:ascii="宋体" w:hAnsi="宋体"/>
                <w:b/>
                <w:szCs w:val="21"/>
              </w:rPr>
            </w:pPr>
            <w:r>
              <w:rPr>
                <w:rFonts w:hint="eastAsia" w:ascii="宋体" w:hAnsi="宋体"/>
                <w:b/>
                <w:bCs/>
                <w:szCs w:val="21"/>
              </w:rPr>
              <w:t>项目</w:t>
            </w:r>
          </w:p>
        </w:tc>
        <w:tc>
          <w:tcPr>
            <w:tcW w:w="3544" w:type="dxa"/>
            <w:tcBorders>
              <w:top w:val="single" w:color="000000" w:sz="8" w:space="0"/>
              <w:left w:val="single" w:color="000000" w:sz="4" w:space="0"/>
              <w:bottom w:val="single" w:color="000000" w:sz="4" w:space="0"/>
              <w:right w:val="single" w:color="000000" w:sz="4" w:space="0"/>
            </w:tcBorders>
            <w:shd w:val="clear" w:color="auto" w:fill="F1F1F1" w:themeFill="background1" w:themeFillShade="F2"/>
            <w:tcMar>
              <w:top w:w="15" w:type="dxa"/>
              <w:left w:w="15" w:type="dxa"/>
              <w:bottom w:w="0" w:type="dxa"/>
              <w:right w:w="15" w:type="dxa"/>
            </w:tcMar>
            <w:vAlign w:val="center"/>
          </w:tcPr>
          <w:p>
            <w:pPr>
              <w:snapToGrid w:val="0"/>
              <w:spacing w:line="360" w:lineRule="auto"/>
              <w:jc w:val="center"/>
              <w:rPr>
                <w:rFonts w:ascii="宋体" w:hAnsi="宋体"/>
                <w:b/>
                <w:szCs w:val="21"/>
              </w:rPr>
            </w:pPr>
            <w:r>
              <w:rPr>
                <w:rFonts w:hint="eastAsia" w:ascii="宋体" w:hAnsi="宋体"/>
                <w:b/>
                <w:bCs/>
                <w:szCs w:val="21"/>
              </w:rPr>
              <w:t>参数</w:t>
            </w:r>
          </w:p>
        </w:tc>
        <w:tc>
          <w:tcPr>
            <w:tcW w:w="2551" w:type="dxa"/>
            <w:tcBorders>
              <w:top w:val="single" w:color="000000" w:sz="8" w:space="0"/>
              <w:left w:val="single" w:color="000000" w:sz="4" w:space="0"/>
              <w:bottom w:val="single" w:color="000000" w:sz="4" w:space="0"/>
              <w:right w:val="single" w:color="000000" w:sz="8" w:space="0"/>
            </w:tcBorders>
            <w:shd w:val="clear" w:color="auto" w:fill="F1F1F1" w:themeFill="background1" w:themeFillShade="F2"/>
            <w:tcMar>
              <w:top w:w="15" w:type="dxa"/>
              <w:left w:w="15" w:type="dxa"/>
              <w:bottom w:w="0" w:type="dxa"/>
              <w:right w:w="15" w:type="dxa"/>
            </w:tcMar>
            <w:vAlign w:val="center"/>
          </w:tcPr>
          <w:p>
            <w:pPr>
              <w:snapToGrid w:val="0"/>
              <w:spacing w:line="360" w:lineRule="auto"/>
              <w:jc w:val="center"/>
              <w:rPr>
                <w:rFonts w:ascii="宋体" w:hAnsi="宋体"/>
                <w:b/>
                <w:szCs w:val="21"/>
              </w:rPr>
            </w:pPr>
            <w:r>
              <w:rPr>
                <w:rFonts w:hint="eastAsia" w:ascii="宋体" w:hAnsi="宋体"/>
                <w:b/>
                <w:bCs/>
                <w:szCs w:val="21"/>
              </w:rPr>
              <w:t>备注</w:t>
            </w: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restart"/>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bCs/>
                <w:szCs w:val="21"/>
              </w:rPr>
            </w:pPr>
            <w:r>
              <w:rPr>
                <w:rFonts w:hint="eastAsia" w:ascii="宋体" w:hAnsi="宋体"/>
                <w:bCs/>
                <w:szCs w:val="21"/>
              </w:rPr>
              <w:t>定制参数</w:t>
            </w: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szCs w:val="21"/>
              </w:rPr>
            </w:pPr>
            <w:r>
              <w:rPr>
                <w:rFonts w:hint="eastAsia" w:ascii="宋体" w:hAnsi="宋体"/>
                <w:bCs/>
                <w:szCs w:val="21"/>
              </w:rPr>
              <w:t>培养液器皿</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szCs w:val="21"/>
              </w:rPr>
            </w:pPr>
            <w:r>
              <w:rPr>
                <w:rFonts w:hint="eastAsia" w:ascii="宋体" w:hAnsi="宋体"/>
                <w:szCs w:val="21"/>
              </w:rPr>
              <w:t>1</w:t>
            </w:r>
            <w:r>
              <w:rPr>
                <w:rFonts w:ascii="宋体" w:hAnsi="宋体"/>
                <w:szCs w:val="21"/>
              </w:rPr>
              <w:t>.5L</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bCs/>
                <w:szCs w:val="21"/>
              </w:rPr>
              <w:t>培养基皿料仓</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szCs w:val="21"/>
              </w:rPr>
            </w:pPr>
            <w:r>
              <w:rPr>
                <w:rFonts w:hint="eastAsia" w:ascii="宋体" w:hAnsi="宋体"/>
                <w:szCs w:val="21"/>
              </w:rPr>
              <w:t>一次可存放2</w:t>
            </w:r>
            <w:r>
              <w:rPr>
                <w:rFonts w:ascii="宋体" w:hAnsi="宋体"/>
                <w:szCs w:val="21"/>
              </w:rPr>
              <w:t>0</w:t>
            </w:r>
            <w:r>
              <w:rPr>
                <w:rFonts w:hint="eastAsia" w:ascii="宋体" w:hAnsi="宋体"/>
                <w:szCs w:val="21"/>
              </w:rPr>
              <w:t>块培养基皿</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bCs/>
                <w:szCs w:val="21"/>
              </w:rPr>
              <w:t>视觉系统</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szCs w:val="21"/>
              </w:rPr>
            </w:pPr>
            <w:r>
              <w:rPr>
                <w:rFonts w:ascii="宋体" w:hAnsi="宋体"/>
                <w:szCs w:val="21"/>
              </w:rPr>
              <w:t>2</w:t>
            </w:r>
            <w:r>
              <w:rPr>
                <w:rFonts w:hint="eastAsia" w:ascii="宋体" w:hAnsi="宋体"/>
                <w:szCs w:val="21"/>
              </w:rPr>
              <w:t>个</w:t>
            </w:r>
            <w:r>
              <w:rPr>
                <w:rFonts w:ascii="宋体" w:hAnsi="宋体"/>
                <w:szCs w:val="21"/>
              </w:rPr>
              <w:t>500W</w:t>
            </w:r>
            <w:r>
              <w:rPr>
                <w:rFonts w:hint="eastAsia" w:ascii="宋体" w:hAnsi="宋体"/>
                <w:szCs w:val="21"/>
              </w:rPr>
              <w:t>相机</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restart"/>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bCs/>
                <w:szCs w:val="21"/>
              </w:rPr>
            </w:pPr>
            <w:r>
              <w:rPr>
                <w:rFonts w:hint="eastAsia" w:ascii="宋体" w:hAnsi="宋体"/>
                <w:bCs/>
                <w:szCs w:val="21"/>
              </w:rPr>
              <w:t>通用参数</w:t>
            </w: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szCs w:val="21"/>
              </w:rPr>
            </w:pPr>
            <w:r>
              <w:rPr>
                <w:rFonts w:hint="eastAsia"/>
                <w:szCs w:val="21"/>
              </w:rPr>
              <w:t>工作电源</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szCs w:val="21"/>
              </w:rPr>
            </w:pPr>
            <w:r>
              <w:rPr>
                <w:rFonts w:hint="eastAsia"/>
                <w:szCs w:val="21"/>
              </w:rPr>
              <w:t>AC220V±10%，50HZ</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bCs/>
                <w:szCs w:val="21"/>
              </w:rPr>
              <w:t>设备参考尺寸</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ascii="宋体" w:hAnsi="宋体"/>
                <w:bCs/>
                <w:szCs w:val="21"/>
              </w:rPr>
              <w:t>0.7</w:t>
            </w:r>
            <w:r>
              <w:rPr>
                <w:rFonts w:hint="eastAsia" w:ascii="宋体" w:hAnsi="宋体"/>
                <w:bCs/>
                <w:szCs w:val="21"/>
              </w:rPr>
              <w:t>×</w:t>
            </w:r>
            <w:r>
              <w:rPr>
                <w:rFonts w:ascii="宋体" w:hAnsi="宋体"/>
                <w:bCs/>
                <w:szCs w:val="21"/>
              </w:rPr>
              <w:t>0.3</w:t>
            </w:r>
            <w:r>
              <w:rPr>
                <w:rFonts w:hint="eastAsia" w:ascii="宋体" w:hAnsi="宋体"/>
                <w:bCs/>
                <w:szCs w:val="21"/>
              </w:rPr>
              <w:t>×</w:t>
            </w:r>
            <w:r>
              <w:rPr>
                <w:rFonts w:ascii="宋体" w:hAnsi="宋体"/>
                <w:bCs/>
                <w:szCs w:val="21"/>
              </w:rPr>
              <w:t>0.6</w:t>
            </w:r>
            <w:r>
              <w:rPr>
                <w:rFonts w:hint="eastAsia" w:ascii="宋体" w:hAnsi="宋体"/>
                <w:bCs/>
                <w:szCs w:val="21"/>
              </w:rPr>
              <w:t>（米）</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szCs w:val="21"/>
              </w:rPr>
              <w:t>整机功率</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hint="eastAsia"/>
                <w:szCs w:val="21"/>
              </w:rPr>
              <w:t>约</w:t>
            </w:r>
            <w:r>
              <w:rPr>
                <w:szCs w:val="21"/>
              </w:rPr>
              <w:t>1.5</w:t>
            </w:r>
            <w:r>
              <w:rPr>
                <w:rFonts w:hint="eastAsia"/>
                <w:szCs w:val="21"/>
              </w:rPr>
              <w:t>kw</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szCs w:val="21"/>
              </w:rPr>
              <w:t>设备供气压力</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hint="eastAsia" w:ascii="宋体" w:hAnsi="宋体"/>
                <w:szCs w:val="21"/>
              </w:rPr>
              <w:t>无</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bCs/>
                <w:szCs w:val="21"/>
              </w:rPr>
              <w:t>防护要求</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hint="eastAsia"/>
                <w:szCs w:val="21"/>
              </w:rPr>
              <w:t>设备零部件做防锈处理或者本身为防锈材质</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bCs/>
                <w:szCs w:val="21"/>
              </w:rPr>
              <w:t>噪音</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hint="eastAsia"/>
                <w:szCs w:val="21"/>
              </w:rPr>
              <w:t>整机联动运行时噪音≤</w:t>
            </w:r>
            <w:r>
              <w:rPr>
                <w:szCs w:val="21"/>
              </w:rPr>
              <w:t>70</w:t>
            </w:r>
            <w:r>
              <w:rPr>
                <w:rFonts w:hint="eastAsia"/>
                <w:szCs w:val="21"/>
              </w:rPr>
              <w:t>分贝（设备1</w:t>
            </w:r>
            <w:r>
              <w:rPr>
                <w:szCs w:val="21"/>
              </w:rPr>
              <w:t>.5</w:t>
            </w:r>
            <w:r>
              <w:rPr>
                <w:rFonts w:hint="eastAsia"/>
                <w:szCs w:val="21"/>
              </w:rPr>
              <w:t>米处测量值）</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bCs/>
                <w:szCs w:val="21"/>
              </w:rPr>
            </w:pPr>
            <w:r>
              <w:rPr>
                <w:rFonts w:hint="eastAsia" w:ascii="宋体" w:hAnsi="宋体"/>
                <w:szCs w:val="21"/>
              </w:rPr>
              <w:t>环境温度</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9"/>
              <w:snapToGrid w:val="0"/>
              <w:spacing w:line="360" w:lineRule="auto"/>
              <w:ind w:left="420" w:firstLine="367" w:firstLineChars="175"/>
              <w:rPr>
                <w:rFonts w:ascii="宋体" w:hAnsi="宋体"/>
                <w:szCs w:val="21"/>
              </w:rPr>
            </w:pPr>
            <w:r>
              <w:rPr>
                <w:rFonts w:ascii="宋体" w:hAnsi="宋体"/>
                <w:szCs w:val="21"/>
              </w:rPr>
              <w:t>20-27</w:t>
            </w:r>
            <w:r>
              <w:rPr>
                <w:rFonts w:hint="eastAsia" w:ascii="宋体" w:hAnsi="宋体"/>
                <w:szCs w:val="21"/>
              </w:rPr>
              <w:t>℃；</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vMerge w:val="continue"/>
            <w:tcBorders>
              <w:left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ascii="宋体" w:hAnsi="宋体"/>
                <w:szCs w:val="21"/>
              </w:rPr>
            </w:pPr>
            <w:r>
              <w:rPr>
                <w:rFonts w:hint="eastAsia" w:ascii="宋体" w:hAnsi="宋体"/>
                <w:szCs w:val="21"/>
              </w:rPr>
              <w:t>相对湿度</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center"/>
              <w:rPr>
                <w:rFonts w:ascii="宋体" w:hAnsi="宋体"/>
                <w:bCs/>
                <w:szCs w:val="21"/>
              </w:rPr>
            </w:pPr>
            <w:r>
              <w:rPr>
                <w:rFonts w:hint="eastAsia" w:ascii="宋体" w:hAnsi="宋体"/>
                <w:szCs w:val="21"/>
              </w:rPr>
              <w:t>25—95%  40℃，</w:t>
            </w:r>
            <w:r>
              <w:rPr>
                <w:rFonts w:ascii="宋体" w:hAnsi="宋体"/>
                <w:szCs w:val="21"/>
              </w:rPr>
              <w:t>7</w:t>
            </w:r>
            <w:r>
              <w:rPr>
                <w:rFonts w:hint="eastAsia" w:ascii="宋体" w:hAnsi="宋体"/>
                <w:szCs w:val="21"/>
              </w:rPr>
              <w:t>0％湿度时，不凝结</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center"/>
              <w:rPr>
                <w:rFonts w:ascii="宋体" w:hAnsi="宋体"/>
                <w:szCs w:val="21"/>
              </w:rPr>
            </w:pPr>
          </w:p>
        </w:tc>
      </w:tr>
      <w:tr>
        <w:tblPrEx>
          <w:tblCellMar>
            <w:top w:w="0" w:type="dxa"/>
            <w:left w:w="0" w:type="dxa"/>
            <w:bottom w:w="0" w:type="dxa"/>
            <w:right w:w="0" w:type="dxa"/>
          </w:tblCellMar>
        </w:tblPrEx>
        <w:trPr>
          <w:trHeight w:val="283" w:hRule="atLeast"/>
          <w:jc w:val="center"/>
        </w:trPr>
        <w:tc>
          <w:tcPr>
            <w:tcW w:w="699" w:type="dxa"/>
            <w:tcBorders>
              <w:top w:val="single" w:color="000000" w:sz="4" w:space="0"/>
              <w:left w:val="single" w:color="000000" w:sz="8" w:space="0"/>
              <w:bottom w:val="single" w:color="000000" w:sz="4" w:space="0"/>
              <w:right w:val="single" w:color="000000" w:sz="4" w:space="0"/>
            </w:tcBorders>
            <w:tcMar>
              <w:top w:w="15" w:type="dxa"/>
              <w:left w:w="15" w:type="dxa"/>
              <w:bottom w:w="0" w:type="dxa"/>
              <w:right w:w="15" w:type="dxa"/>
            </w:tcMar>
            <w:vAlign w:val="center"/>
          </w:tcPr>
          <w:p>
            <w:pPr>
              <w:pStyle w:val="29"/>
              <w:numPr>
                <w:ilvl w:val="0"/>
                <w:numId w:val="1"/>
              </w:numPr>
              <w:snapToGrid w:val="0"/>
              <w:spacing w:line="360" w:lineRule="auto"/>
              <w:ind w:firstLineChars="0"/>
              <w:jc w:val="right"/>
              <w:rPr>
                <w:rFonts w:ascii="宋体" w:hAnsi="宋体"/>
                <w:szCs w:val="21"/>
              </w:rPr>
            </w:pPr>
          </w:p>
        </w:tc>
        <w:tc>
          <w:tcPr>
            <w:tcW w:w="567" w:type="dxa"/>
            <w:tcBorders>
              <w:left w:val="single" w:color="000000" w:sz="4" w:space="0"/>
              <w:bottom w:val="single" w:color="000000" w:sz="4" w:space="0"/>
              <w:right w:val="single" w:color="000000" w:sz="4" w:space="0"/>
            </w:tcBorders>
          </w:tcPr>
          <w:p>
            <w:pPr>
              <w:snapToGrid w:val="0"/>
              <w:spacing w:line="360" w:lineRule="auto"/>
              <w:jc w:val="center"/>
              <w:rPr>
                <w:rFonts w:ascii="宋体" w:hAnsi="宋体"/>
                <w:bCs/>
                <w:szCs w:val="21"/>
              </w:rPr>
            </w:pPr>
          </w:p>
        </w:tc>
        <w:tc>
          <w:tcPr>
            <w:tcW w:w="226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jc w:val="left"/>
              <w:rPr>
                <w:rFonts w:hAnsi="宋体"/>
                <w:szCs w:val="21"/>
              </w:rPr>
            </w:pPr>
            <w:r>
              <w:rPr>
                <w:rFonts w:hint="eastAsia" w:hAnsi="宋体"/>
                <w:szCs w:val="21"/>
              </w:rPr>
              <w:t>设备安装地面承载力</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napToGrid w:val="0"/>
              <w:spacing w:line="360" w:lineRule="auto"/>
              <w:ind w:firstLine="840" w:firstLineChars="400"/>
              <w:rPr>
                <w:rFonts w:ascii="宋体" w:hAnsi="宋体"/>
                <w:szCs w:val="21"/>
              </w:rPr>
            </w:pPr>
            <w:r>
              <w:rPr>
                <w:rFonts w:hint="eastAsia" w:ascii="宋体" w:hAnsi="宋体"/>
                <w:szCs w:val="21"/>
              </w:rPr>
              <w:t>每平方米</w:t>
            </w:r>
            <w:r>
              <w:rPr>
                <w:rFonts w:ascii="宋体" w:hAnsi="宋体"/>
                <w:szCs w:val="21"/>
              </w:rPr>
              <w:t>≥1</w:t>
            </w:r>
            <w:r>
              <w:rPr>
                <w:rFonts w:hint="eastAsia" w:ascii="宋体" w:hAnsi="宋体"/>
                <w:szCs w:val="21"/>
              </w:rPr>
              <w:t>吨</w:t>
            </w:r>
          </w:p>
        </w:tc>
        <w:tc>
          <w:tcPr>
            <w:tcW w:w="2551" w:type="dxa"/>
            <w:tcBorders>
              <w:top w:val="single" w:color="000000" w:sz="4" w:space="0"/>
              <w:left w:val="single" w:color="000000" w:sz="4" w:space="0"/>
              <w:bottom w:val="single" w:color="000000" w:sz="4" w:space="0"/>
              <w:right w:val="single" w:color="000000" w:sz="8" w:space="0"/>
            </w:tcBorders>
            <w:tcMar>
              <w:top w:w="15" w:type="dxa"/>
              <w:left w:w="15" w:type="dxa"/>
              <w:bottom w:w="0" w:type="dxa"/>
              <w:right w:w="15" w:type="dxa"/>
            </w:tcMar>
            <w:vAlign w:val="center"/>
          </w:tcPr>
          <w:p>
            <w:pPr>
              <w:snapToGrid w:val="0"/>
              <w:spacing w:line="360" w:lineRule="auto"/>
              <w:jc w:val="both"/>
              <w:rPr>
                <w:rFonts w:ascii="宋体" w:hAnsi="宋体"/>
                <w:szCs w:val="21"/>
              </w:rPr>
            </w:pPr>
          </w:p>
        </w:tc>
      </w:tr>
    </w:tbl>
    <w:p>
      <w:pPr>
        <w:pStyle w:val="36"/>
      </w:pPr>
      <w:bookmarkStart w:id="7" w:name="_Toc85544716"/>
      <w:bookmarkStart w:id="8" w:name="_Toc425289851"/>
      <w:bookmarkStart w:id="9" w:name="_Toc427575945"/>
      <w:r>
        <w:rPr>
          <w:rFonts w:hint="eastAsia" w:ascii="Calibri" w:hAnsi="Calibri"/>
        </w:rPr>
        <w:t>五、</w:t>
      </w:r>
      <w:r>
        <w:rPr>
          <w:rFonts w:hint="eastAsia"/>
        </w:rPr>
        <w:t>设备工艺流程</w:t>
      </w:r>
      <w:bookmarkEnd w:id="7"/>
      <w:bookmarkEnd w:id="8"/>
      <w:bookmarkEnd w:id="9"/>
    </w:p>
    <w:p>
      <w:pPr>
        <w:pStyle w:val="38"/>
        <w:ind w:firstLine="420"/>
        <w:rPr>
          <w:rFonts w:hint="eastAsia" w:eastAsia="宋体"/>
          <w:i w:val="0"/>
          <w:color w:val="auto"/>
          <w:lang w:eastAsia="zh-CN"/>
        </w:rPr>
      </w:pPr>
      <w:r>
        <w:rPr>
          <w:rFonts w:hint="eastAsia"/>
          <w:i w:val="0"/>
          <w:color w:val="auto"/>
        </w:rPr>
        <w:t>人工将培养基皿放入料仓</w:t>
      </w:r>
      <w:r>
        <w:rPr>
          <w:i w:val="0"/>
          <w:color w:val="auto"/>
        </w:rPr>
        <w:softHyphen/>
      </w:r>
      <w:r>
        <w:rPr>
          <w:i w:val="0"/>
          <w:color w:val="auto"/>
        </w:rPr>
        <w:t xml:space="preserve"> </w:t>
      </w:r>
      <w:r>
        <w:rPr>
          <w:rFonts w:hint="eastAsia"/>
          <w:i w:val="0"/>
          <w:color w:val="auto"/>
        </w:rPr>
        <w:t>—</w:t>
      </w:r>
      <w:r>
        <w:rPr>
          <w:i w:val="0"/>
          <w:color w:val="auto"/>
        </w:rPr>
        <w:t xml:space="preserve"> 灌装 </w:t>
      </w:r>
      <w:r>
        <w:rPr>
          <w:rFonts w:hint="eastAsia"/>
          <w:i w:val="0"/>
          <w:color w:val="auto"/>
        </w:rPr>
        <w:t>—</w:t>
      </w:r>
      <w:r>
        <w:rPr>
          <w:i w:val="0"/>
          <w:color w:val="auto"/>
        </w:rPr>
        <w:t xml:space="preserve"> </w:t>
      </w:r>
      <w:r>
        <w:rPr>
          <w:rFonts w:hint="eastAsia"/>
          <w:i w:val="0"/>
          <w:color w:val="auto"/>
        </w:rPr>
        <w:t>识别细菌运动坐标</w:t>
      </w:r>
      <w:r>
        <w:rPr>
          <w:i w:val="0"/>
          <w:color w:val="auto"/>
        </w:rPr>
        <w:t xml:space="preserve"> </w:t>
      </w:r>
      <w:r>
        <w:rPr>
          <w:rFonts w:hint="eastAsia"/>
          <w:i w:val="0"/>
          <w:color w:val="auto"/>
        </w:rPr>
        <w:t>—</w:t>
      </w:r>
      <w:r>
        <w:rPr>
          <w:i w:val="0"/>
          <w:color w:val="auto"/>
        </w:rPr>
        <w:t xml:space="preserve"> 新培养基皿推送至细菌运动区 </w:t>
      </w:r>
      <w:r>
        <w:rPr>
          <w:rFonts w:hint="eastAsia"/>
          <w:i w:val="0"/>
          <w:color w:val="auto"/>
        </w:rPr>
        <w:t>—</w:t>
      </w:r>
      <w:r>
        <w:rPr>
          <w:i w:val="0"/>
          <w:color w:val="auto"/>
        </w:rPr>
        <w:t xml:space="preserve"> </w:t>
      </w:r>
      <w:r>
        <w:rPr>
          <w:rFonts w:hint="eastAsia"/>
          <w:i w:val="0"/>
          <w:color w:val="auto"/>
        </w:rPr>
        <w:t>旧培养基</w:t>
      </w:r>
      <w:r>
        <w:rPr>
          <w:rFonts w:hint="eastAsia"/>
        </w:rPr>
        <w:t>皿</w:t>
      </w:r>
      <w:r>
        <w:rPr>
          <w:rFonts w:hint="eastAsia"/>
          <w:i w:val="0"/>
          <w:color w:val="auto"/>
        </w:rPr>
        <w:t>回收至回收框，以此循环</w:t>
      </w:r>
      <w:r>
        <w:rPr>
          <w:rFonts w:hint="eastAsia"/>
          <w:i w:val="0"/>
          <w:color w:val="auto"/>
          <w:lang w:eastAsia="zh-CN"/>
        </w:rPr>
        <w:t>。</w:t>
      </w:r>
    </w:p>
    <w:p>
      <w:pPr>
        <w:pStyle w:val="36"/>
        <w:ind w:firstLine="420"/>
      </w:pPr>
      <w:bookmarkStart w:id="10" w:name="_Toc85544717"/>
      <w:r>
        <w:rPr>
          <w:rFonts w:hint="eastAsia"/>
        </w:rPr>
        <w:t>六、设备与组件说明</w:t>
      </w:r>
      <w:bookmarkEnd w:id="10"/>
    </w:p>
    <w:p>
      <w:pPr>
        <w:pStyle w:val="37"/>
      </w:pPr>
      <w:r>
        <w:rPr>
          <w:rFonts w:hint="eastAsia"/>
        </w:rPr>
        <w:t>6</w:t>
      </w:r>
      <w:r>
        <w:t xml:space="preserve">.1 </w:t>
      </w:r>
      <w:r>
        <w:rPr>
          <w:rFonts w:hint="eastAsia"/>
        </w:rPr>
        <w:t>设备主要功能概述</w:t>
      </w:r>
    </w:p>
    <w:p>
      <w:pPr>
        <w:pStyle w:val="38"/>
        <w:ind w:firstLine="420"/>
        <w:rPr>
          <w:rFonts w:hint="eastAsia" w:eastAsia="宋体"/>
          <w:highlight w:val="none"/>
          <w:lang w:eastAsia="zh-CN"/>
        </w:rPr>
      </w:pPr>
      <w:r>
        <w:rPr>
          <w:rFonts w:hint="eastAsia"/>
          <w:highlight w:val="none"/>
        </w:rPr>
        <w:t>设备主要</w:t>
      </w:r>
      <w:r>
        <w:rPr>
          <w:rFonts w:hint="eastAsia"/>
        </w:rPr>
        <w:t>用于实现细菌的自动筛选，主要由培养基皿料仓、送料机构、底架部分、视觉、回收框组成，通过视觉判别细菌运动前锋特征，以此特征信号通过机构联动将旧培养基皿送至回收框，同时新培养基皿送至细菌跑步区。以此循环</w:t>
      </w:r>
      <w:r>
        <w:rPr>
          <w:rFonts w:hint="eastAsia"/>
          <w:lang w:eastAsia="zh-CN"/>
        </w:rPr>
        <w:t>。</w:t>
      </w:r>
    </w:p>
    <w:p>
      <w:pPr>
        <w:pStyle w:val="37"/>
      </w:pPr>
      <w:r>
        <w:rPr>
          <w:rFonts w:hint="eastAsia"/>
        </w:rPr>
        <w:t>6.</w:t>
      </w:r>
      <w:r>
        <w:t>2</w:t>
      </w:r>
      <w:r>
        <w:rPr>
          <w:rFonts w:hint="eastAsia"/>
        </w:rPr>
        <w:t xml:space="preserve"> 培养基皿料仓组件 </w:t>
      </w:r>
    </w:p>
    <w:p>
      <w:pPr>
        <w:pStyle w:val="38"/>
        <w:ind w:firstLine="420"/>
        <w:rPr>
          <w:rFonts w:hint="eastAsia" w:eastAsia="宋体"/>
          <w:i w:val="0"/>
          <w:color w:val="auto"/>
          <w:lang w:eastAsia="zh-CN"/>
        </w:rPr>
      </w:pPr>
      <w:r>
        <w:rPr>
          <w:rFonts w:hint="eastAsia"/>
          <w:i w:val="0"/>
          <w:color w:val="auto"/>
        </w:rPr>
        <w:t>培养基皿可从侧面或上方放入料仓</w:t>
      </w:r>
      <w:r>
        <w:rPr>
          <w:rFonts w:hint="eastAsia"/>
          <w:i w:val="0"/>
          <w:color w:val="auto"/>
          <w:lang w:eastAsia="zh-CN"/>
        </w:rPr>
        <w:t>。</w:t>
      </w:r>
    </w:p>
    <w:p>
      <w:pPr>
        <w:pStyle w:val="38"/>
        <w:ind w:firstLine="420"/>
        <w:rPr>
          <w:i w:val="0"/>
          <w:color w:val="auto"/>
        </w:rPr>
      </w:pPr>
      <w:r>
        <w:rPr>
          <w:rFonts w:hint="eastAsia"/>
          <w:i w:val="0"/>
          <w:color w:val="auto"/>
        </w:rPr>
        <w:t>工作流程：</w:t>
      </w:r>
    </w:p>
    <w:p>
      <w:pPr>
        <w:pStyle w:val="38"/>
        <w:ind w:firstLine="420"/>
        <w:rPr>
          <w:rFonts w:hint="eastAsia" w:eastAsia="宋体"/>
          <w:i w:val="0"/>
          <w:color w:val="auto"/>
          <w:lang w:eastAsia="zh-CN"/>
        </w:rPr>
      </w:pPr>
      <w:r>
        <w:rPr>
          <w:rFonts w:hint="eastAsia"/>
          <w:i w:val="0"/>
          <w:color w:val="auto"/>
        </w:rPr>
        <w:t>底部另一机构一次取一块培养基皿，当培养基皿剩余数量到达设定值时自动报警，提示加料</w:t>
      </w:r>
      <w:r>
        <w:rPr>
          <w:rFonts w:hint="eastAsia"/>
          <w:i w:val="0"/>
          <w:color w:val="auto"/>
          <w:lang w:eastAsia="zh-CN"/>
        </w:rPr>
        <w:t>。</w:t>
      </w:r>
    </w:p>
    <w:p>
      <w:pPr>
        <w:pStyle w:val="38"/>
        <w:ind w:firstLine="420"/>
        <w:rPr>
          <w:i/>
          <w:color w:val="8EB4E3" w:themeColor="text2" w:themeTint="66"/>
          <w14:textFill>
            <w14:solidFill>
              <w14:schemeClr w14:val="tx2">
                <w14:lumMod w14:val="40000"/>
                <w14:lumOff w14:val="60000"/>
              </w14:schemeClr>
            </w14:solidFill>
          </w14:textFill>
        </w:rPr>
      </w:pPr>
    </w:p>
    <w:p>
      <w:pPr>
        <w:pStyle w:val="38"/>
        <w:ind w:firstLine="0" w:firstLineChars="0"/>
        <w:jc w:val="center"/>
        <w:rPr>
          <w:i/>
          <w:color w:val="8EB4E3" w:themeColor="text2" w:themeTint="66"/>
          <w14:textFill>
            <w14:solidFill>
              <w14:schemeClr w14:val="tx2">
                <w14:lumMod w14:val="40000"/>
                <w14:lumOff w14:val="60000"/>
              </w14:schemeClr>
            </w14:solidFill>
          </w14:textFill>
        </w:rPr>
      </w:pPr>
      <w:r>
        <w:rPr>
          <w:i/>
          <w:color w:val="8EB4E3" w:themeColor="text2" w:themeTint="66"/>
          <w14:textFill>
            <w14:solidFill>
              <w14:schemeClr w14:val="tx2">
                <w14:lumMod w14:val="40000"/>
                <w14:lumOff w14:val="60000"/>
              </w14:schemeClr>
            </w14:solidFill>
          </w14:textFill>
        </w:rPr>
        <w:drawing>
          <wp:inline distT="0" distB="0" distL="0" distR="0">
            <wp:extent cx="2401570" cy="2713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419976" cy="2734531"/>
                    </a:xfrm>
                    <a:prstGeom prst="rect">
                      <a:avLst/>
                    </a:prstGeom>
                    <a:noFill/>
                  </pic:spPr>
                </pic:pic>
              </a:graphicData>
            </a:graphic>
          </wp:inline>
        </w:drawing>
      </w:r>
      <w:r>
        <w:rPr>
          <w:i/>
          <w:color w:val="8EB4E3" w:themeColor="text2" w:themeTint="66"/>
          <w14:textFill>
            <w14:solidFill>
              <w14:schemeClr w14:val="tx2">
                <w14:lumMod w14:val="40000"/>
                <w14:lumOff w14:val="60000"/>
              </w14:schemeClr>
            </w14:solidFill>
          </w14:textFill>
        </w:rPr>
        <w:t xml:space="preserve"> </w:t>
      </w:r>
    </w:p>
    <w:p>
      <w:pPr>
        <w:pStyle w:val="37"/>
      </w:pPr>
      <w:r>
        <w:rPr>
          <w:rFonts w:hint="eastAsia"/>
        </w:rPr>
        <w:t>6.</w:t>
      </w:r>
      <w:r>
        <w:t>3</w:t>
      </w:r>
      <w:r>
        <w:rPr>
          <w:rFonts w:hint="eastAsia"/>
        </w:rPr>
        <w:t xml:space="preserve"> 送料组件</w:t>
      </w:r>
    </w:p>
    <w:p>
      <w:pPr>
        <w:pStyle w:val="38"/>
        <w:ind w:firstLine="420"/>
        <w:rPr>
          <w:rFonts w:hint="eastAsia" w:eastAsia="宋体"/>
          <w:lang w:eastAsia="zh-CN"/>
        </w:rPr>
      </w:pPr>
      <w:r>
        <w:rPr>
          <w:rFonts w:hint="eastAsia"/>
        </w:rPr>
        <w:t>培养基皿进入送料机构，通过丝杆电机每次推动一块板进入细菌跑步区</w:t>
      </w:r>
      <w:r>
        <w:rPr>
          <w:rFonts w:hint="eastAsia"/>
          <w:lang w:eastAsia="zh-CN"/>
        </w:rPr>
        <w:t>。</w:t>
      </w:r>
    </w:p>
    <w:p>
      <w:pPr>
        <w:pStyle w:val="38"/>
        <w:ind w:firstLine="420"/>
      </w:pPr>
      <w:r>
        <w:rPr>
          <w:rFonts w:hint="eastAsia"/>
        </w:rPr>
        <w:t>工作流程：</w:t>
      </w:r>
    </w:p>
    <w:p>
      <w:pPr>
        <w:pStyle w:val="38"/>
        <w:ind w:left="420" w:leftChars="200" w:firstLine="0" w:firstLineChars="0"/>
        <w:rPr>
          <w:rFonts w:hint="eastAsia" w:eastAsia="宋体"/>
          <w:lang w:eastAsia="zh-CN"/>
        </w:rPr>
      </w:pPr>
      <w:r>
        <w:rPr>
          <w:rFonts w:hint="eastAsia"/>
        </w:rPr>
        <w:t>推料机构入料位检测到培养基皿后，丝杆电机推动新的培养基皿进入细菌跑步区，一直保持推力，直至培养液凝固</w:t>
      </w:r>
      <w:r>
        <w:rPr>
          <w:rFonts w:hint="eastAsia"/>
          <w:lang w:eastAsia="zh-CN"/>
        </w:rPr>
        <w:t>。</w:t>
      </w:r>
    </w:p>
    <w:p>
      <w:pPr>
        <w:pStyle w:val="38"/>
        <w:ind w:firstLine="420"/>
        <w:jc w:val="center"/>
      </w:pPr>
      <w:r>
        <w:rPr>
          <w:rFonts w:hint="eastAsia"/>
        </w:rPr>
        <w:drawing>
          <wp:inline distT="0" distB="0" distL="0" distR="0">
            <wp:extent cx="5518785" cy="27432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9247" cy="2753139"/>
                    </a:xfrm>
                    <a:prstGeom prst="rect">
                      <a:avLst/>
                    </a:prstGeom>
                  </pic:spPr>
                </pic:pic>
              </a:graphicData>
            </a:graphic>
          </wp:inline>
        </w:drawing>
      </w:r>
    </w:p>
    <w:p>
      <w:pPr>
        <w:pStyle w:val="38"/>
        <w:ind w:firstLine="420"/>
        <w:jc w:val="center"/>
      </w:pPr>
    </w:p>
    <w:p>
      <w:pPr>
        <w:pStyle w:val="37"/>
      </w:pPr>
      <w:r>
        <w:rPr>
          <w:rFonts w:hint="eastAsia"/>
        </w:rPr>
        <w:t>6.</w:t>
      </w:r>
      <w:r>
        <w:t>4</w:t>
      </w:r>
      <w:r>
        <w:rPr>
          <w:rFonts w:hint="eastAsia"/>
        </w:rPr>
        <w:t xml:space="preserve"> 底架组件</w:t>
      </w:r>
    </w:p>
    <w:p>
      <w:pPr>
        <w:pStyle w:val="38"/>
        <w:ind w:firstLine="420"/>
        <w:rPr>
          <w:rFonts w:hint="eastAsia" w:eastAsia="宋体"/>
          <w:lang w:eastAsia="zh-CN"/>
        </w:rPr>
      </w:pPr>
      <w:r>
        <w:rPr>
          <w:rFonts w:hint="eastAsia"/>
        </w:rPr>
        <w:t>底架部分包含顶升机构、分料组件、挡料组件、注液口</w:t>
      </w:r>
      <w:r>
        <w:rPr>
          <w:rFonts w:hint="eastAsia"/>
          <w:lang w:eastAsia="zh-CN"/>
        </w:rPr>
        <w:t>。</w:t>
      </w:r>
    </w:p>
    <w:p>
      <w:pPr>
        <w:pStyle w:val="38"/>
        <w:ind w:firstLine="420"/>
      </w:pPr>
      <w:r>
        <w:rPr>
          <w:rFonts w:hint="eastAsia"/>
        </w:rPr>
        <w:t>工作流程：</w:t>
      </w:r>
    </w:p>
    <w:p>
      <w:pPr>
        <w:pStyle w:val="38"/>
        <w:ind w:left="420" w:leftChars="200" w:firstLine="0" w:firstLineChars="0"/>
        <w:rPr>
          <w:rFonts w:hint="eastAsia" w:eastAsia="宋体"/>
          <w:lang w:eastAsia="zh-CN"/>
        </w:rPr>
      </w:pPr>
      <w:r>
        <w:rPr>
          <w:rFonts w:hint="eastAsia"/>
        </w:rPr>
        <w:t>顶升机构往上顶升培养基皿，分料组件打开，顶升机构下降，将产品放入送料机构，挡料组件顶升</w:t>
      </w:r>
      <w:r>
        <w:rPr>
          <w:rFonts w:hint="eastAsia"/>
          <w:lang w:eastAsia="zh-CN"/>
        </w:rPr>
        <w:t>。</w:t>
      </w:r>
    </w:p>
    <w:p>
      <w:pPr>
        <w:pStyle w:val="38"/>
        <w:ind w:firstLine="420"/>
        <w:jc w:val="center"/>
      </w:pPr>
      <w:r>
        <w:rPr>
          <w:rFonts w:hint="eastAsia"/>
        </w:rPr>
        <w:drawing>
          <wp:inline distT="0" distB="0" distL="0" distR="0">
            <wp:extent cx="5110480" cy="3430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32353" cy="3445532"/>
                    </a:xfrm>
                    <a:prstGeom prst="rect">
                      <a:avLst/>
                    </a:prstGeom>
                  </pic:spPr>
                </pic:pic>
              </a:graphicData>
            </a:graphic>
          </wp:inline>
        </w:drawing>
      </w:r>
      <w:r>
        <w:rPr>
          <w:rFonts w:hint="eastAsia"/>
        </w:rPr>
        <w:t>-</w:t>
      </w:r>
      <w:r>
        <w:t>+</w:t>
      </w:r>
    </w:p>
    <w:p>
      <w:pPr>
        <w:pStyle w:val="38"/>
        <w:ind w:firstLine="420"/>
        <w:jc w:val="center"/>
      </w:pPr>
    </w:p>
    <w:p>
      <w:pPr>
        <w:pStyle w:val="38"/>
        <w:ind w:firstLine="420"/>
        <w:jc w:val="center"/>
      </w:pPr>
    </w:p>
    <w:p>
      <w:pPr>
        <w:pStyle w:val="36"/>
      </w:pPr>
      <w:bookmarkStart w:id="11" w:name="_Toc85544718"/>
      <w:r>
        <w:rPr>
          <w:rFonts w:hint="eastAsia"/>
        </w:rPr>
        <w:t>七、主要元器件品牌</w:t>
      </w:r>
      <w:bookmarkEnd w:id="1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22"/>
        <w:gridCol w:w="2223"/>
        <w:gridCol w:w="2222"/>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736" w:type="dxa"/>
            <w:gridSpan w:val="5"/>
            <w:shd w:val="clear" w:color="auto" w:fill="F1F1F1" w:themeFill="background1" w:themeFillShade="F2"/>
          </w:tcPr>
          <w:p>
            <w:pPr>
              <w:pStyle w:val="38"/>
              <w:ind w:firstLine="0" w:firstLineChars="0"/>
              <w:jc w:val="center"/>
              <w:rPr>
                <w:szCs w:val="21"/>
              </w:rPr>
            </w:pPr>
            <w:r>
              <w:rPr>
                <w:rFonts w:hint="eastAsia" w:cs="Arial"/>
                <w:b/>
                <w:bCs/>
                <w:szCs w:val="21"/>
              </w:rPr>
              <w:t>主要元件品牌清单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46" w:type="dxa"/>
            <w:vAlign w:val="center"/>
          </w:tcPr>
          <w:p>
            <w:pPr>
              <w:spacing w:line="360" w:lineRule="auto"/>
              <w:jc w:val="center"/>
              <w:rPr>
                <w:rFonts w:ascii="宋体" w:hAnsi="宋体" w:cs="Arial"/>
                <w:szCs w:val="21"/>
              </w:rPr>
            </w:pPr>
            <w:r>
              <w:rPr>
                <w:rFonts w:hint="eastAsia" w:ascii="宋体" w:hAnsi="宋体" w:cs="Arial"/>
                <w:szCs w:val="21"/>
              </w:rPr>
              <w:t>序号</w:t>
            </w:r>
          </w:p>
        </w:tc>
        <w:tc>
          <w:tcPr>
            <w:tcW w:w="2222" w:type="dxa"/>
            <w:vAlign w:val="center"/>
          </w:tcPr>
          <w:p>
            <w:pPr>
              <w:spacing w:line="360" w:lineRule="auto"/>
              <w:jc w:val="center"/>
              <w:rPr>
                <w:rFonts w:ascii="宋体" w:hAnsi="宋体" w:cs="Arial"/>
                <w:szCs w:val="21"/>
              </w:rPr>
            </w:pPr>
            <w:r>
              <w:rPr>
                <w:rFonts w:hint="eastAsia" w:ascii="宋体" w:hAnsi="宋体" w:cs="Arial"/>
                <w:szCs w:val="21"/>
              </w:rPr>
              <w:t>名称</w:t>
            </w:r>
          </w:p>
        </w:tc>
        <w:tc>
          <w:tcPr>
            <w:tcW w:w="2223" w:type="dxa"/>
            <w:vAlign w:val="center"/>
          </w:tcPr>
          <w:p>
            <w:pPr>
              <w:spacing w:line="360" w:lineRule="auto"/>
              <w:jc w:val="center"/>
              <w:rPr>
                <w:rFonts w:ascii="宋体" w:hAnsi="宋体" w:cs="Arial"/>
                <w:szCs w:val="21"/>
              </w:rPr>
            </w:pPr>
            <w:r>
              <w:rPr>
                <w:rFonts w:hint="eastAsia" w:ascii="宋体" w:hAnsi="宋体" w:cs="Arial"/>
                <w:szCs w:val="21"/>
              </w:rPr>
              <w:t>品牌</w:t>
            </w:r>
          </w:p>
        </w:tc>
        <w:tc>
          <w:tcPr>
            <w:tcW w:w="2222" w:type="dxa"/>
            <w:vAlign w:val="center"/>
          </w:tcPr>
          <w:p>
            <w:pPr>
              <w:spacing w:line="360" w:lineRule="auto"/>
              <w:jc w:val="center"/>
              <w:rPr>
                <w:rFonts w:ascii="宋体" w:hAnsi="宋体" w:cs="Arial"/>
                <w:szCs w:val="21"/>
              </w:rPr>
            </w:pPr>
            <w:r>
              <w:rPr>
                <w:rFonts w:hint="eastAsia" w:ascii="宋体" w:hAnsi="宋体" w:cs="Arial"/>
                <w:szCs w:val="21"/>
              </w:rPr>
              <w:t>规格</w:t>
            </w:r>
          </w:p>
        </w:tc>
        <w:tc>
          <w:tcPr>
            <w:tcW w:w="2223" w:type="dxa"/>
            <w:vAlign w:val="center"/>
          </w:tcPr>
          <w:p>
            <w:pPr>
              <w:spacing w:line="360" w:lineRule="auto"/>
              <w:jc w:val="center"/>
              <w:rPr>
                <w:rFonts w:ascii="宋体" w:hAnsi="宋体" w:cs="Arial"/>
                <w:szCs w:val="21"/>
              </w:rPr>
            </w:pPr>
            <w:r>
              <w:rPr>
                <w:rFonts w:hint="eastAsia" w:ascii="宋体" w:hAnsi="宋体" w:cs="Arial"/>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电子元器件</w:t>
            </w:r>
          </w:p>
        </w:tc>
        <w:tc>
          <w:tcPr>
            <w:tcW w:w="2223" w:type="dxa"/>
            <w:vAlign w:val="center"/>
          </w:tcPr>
          <w:p>
            <w:pPr>
              <w:spacing w:line="360" w:lineRule="auto"/>
              <w:rPr>
                <w:rFonts w:ascii="宋体" w:hAnsi="宋体" w:cs="Arial"/>
                <w:i/>
                <w:szCs w:val="21"/>
              </w:rPr>
            </w:pPr>
            <w:r>
              <w:rPr>
                <w:rFonts w:hint="eastAsia" w:ascii="宋体" w:hAnsi="宋体" w:cs="Arial"/>
                <w:i/>
                <w:szCs w:val="21"/>
              </w:rPr>
              <w:t>施耐德</w:t>
            </w:r>
            <w:r>
              <w:rPr>
                <w:rFonts w:ascii="宋体" w:hAnsi="宋体" w:cs="Arial"/>
                <w:i/>
                <w:szCs w:val="21"/>
              </w:rPr>
              <w:t>/</w:t>
            </w:r>
            <w:r>
              <w:rPr>
                <w:rFonts w:hint="eastAsia" w:ascii="宋体" w:hAnsi="宋体" w:cs="Arial"/>
                <w:i/>
                <w:szCs w:val="21"/>
              </w:rPr>
              <w:t>明纬</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传感器</w:t>
            </w:r>
          </w:p>
        </w:tc>
        <w:tc>
          <w:tcPr>
            <w:tcW w:w="2223" w:type="dxa"/>
          </w:tcPr>
          <w:p>
            <w:pPr>
              <w:spacing w:line="360" w:lineRule="auto"/>
              <w:rPr>
                <w:rFonts w:ascii="宋体" w:hAnsi="宋体" w:cs="Arial"/>
                <w:i/>
                <w:szCs w:val="21"/>
              </w:rPr>
            </w:pPr>
            <w:r>
              <w:rPr>
                <w:rFonts w:hint="eastAsia" w:ascii="宋体" w:hAnsi="宋体" w:cs="Arial"/>
                <w:i/>
                <w:szCs w:val="21"/>
              </w:rPr>
              <w:t>欧姆龙/基恩士</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PLC</w:t>
            </w:r>
          </w:p>
        </w:tc>
        <w:tc>
          <w:tcPr>
            <w:tcW w:w="2223" w:type="dxa"/>
          </w:tcPr>
          <w:p>
            <w:pPr>
              <w:spacing w:line="360" w:lineRule="auto"/>
              <w:rPr>
                <w:rFonts w:ascii="宋体" w:hAnsi="宋体" w:cs="Arial"/>
                <w:i/>
                <w:szCs w:val="21"/>
              </w:rPr>
            </w:pPr>
            <w:r>
              <w:rPr>
                <w:rFonts w:hint="eastAsia" w:ascii="宋体" w:hAnsi="宋体" w:cs="Arial"/>
                <w:i/>
                <w:szCs w:val="21"/>
              </w:rPr>
              <w:t>汇川</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触摸屏</w:t>
            </w:r>
          </w:p>
        </w:tc>
        <w:tc>
          <w:tcPr>
            <w:tcW w:w="2223" w:type="dxa"/>
          </w:tcPr>
          <w:p>
            <w:pPr>
              <w:spacing w:line="360" w:lineRule="auto"/>
              <w:rPr>
                <w:rFonts w:ascii="宋体" w:hAnsi="宋体" w:cs="Arial"/>
                <w:i/>
                <w:szCs w:val="21"/>
              </w:rPr>
            </w:pPr>
            <w:r>
              <w:rPr>
                <w:rFonts w:ascii="宋体" w:hAnsi="宋体" w:cs="Arial"/>
                <w:i/>
                <w:szCs w:val="21"/>
              </w:rPr>
              <w:t>P</w:t>
            </w:r>
            <w:r>
              <w:rPr>
                <w:rFonts w:hint="eastAsia" w:ascii="宋体" w:hAnsi="宋体" w:cs="Arial"/>
                <w:i/>
                <w:szCs w:val="21"/>
              </w:rPr>
              <w:t>roface</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步进电机</w:t>
            </w:r>
          </w:p>
        </w:tc>
        <w:tc>
          <w:tcPr>
            <w:tcW w:w="2223" w:type="dxa"/>
          </w:tcPr>
          <w:p>
            <w:pPr>
              <w:spacing w:line="360" w:lineRule="auto"/>
              <w:rPr>
                <w:rFonts w:ascii="宋体" w:hAnsi="宋体" w:cs="Arial"/>
                <w:i/>
                <w:szCs w:val="21"/>
              </w:rPr>
            </w:pPr>
            <w:r>
              <w:rPr>
                <w:rFonts w:hint="eastAsia" w:ascii="宋体" w:hAnsi="宋体" w:cs="Arial"/>
                <w:i/>
                <w:szCs w:val="21"/>
              </w:rPr>
              <w:t>艾维/研控</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numPr>
                <w:ilvl w:val="0"/>
                <w:numId w:val="2"/>
              </w:numPr>
              <w:spacing w:line="360" w:lineRule="auto"/>
              <w:jc w:val="right"/>
              <w:rPr>
                <w:rFonts w:ascii="宋体" w:hAnsi="宋体" w:cs="Arial"/>
                <w:szCs w:val="21"/>
              </w:rPr>
            </w:pPr>
          </w:p>
        </w:tc>
        <w:tc>
          <w:tcPr>
            <w:tcW w:w="2222" w:type="dxa"/>
            <w:vAlign w:val="center"/>
          </w:tcPr>
          <w:p>
            <w:pPr>
              <w:spacing w:line="360" w:lineRule="auto"/>
              <w:rPr>
                <w:rFonts w:ascii="宋体" w:hAnsi="宋体" w:cs="Arial"/>
                <w:szCs w:val="21"/>
              </w:rPr>
            </w:pPr>
            <w:r>
              <w:rPr>
                <w:rFonts w:hint="eastAsia" w:ascii="宋体" w:hAnsi="宋体" w:cs="Arial"/>
                <w:szCs w:val="21"/>
              </w:rPr>
              <w:t>线轨</w:t>
            </w:r>
          </w:p>
        </w:tc>
        <w:tc>
          <w:tcPr>
            <w:tcW w:w="2223" w:type="dxa"/>
          </w:tcPr>
          <w:p>
            <w:pPr>
              <w:spacing w:line="360" w:lineRule="auto"/>
              <w:rPr>
                <w:rFonts w:ascii="宋体" w:hAnsi="宋体" w:cs="Arial"/>
                <w:i/>
                <w:szCs w:val="21"/>
              </w:rPr>
            </w:pPr>
            <w:r>
              <w:rPr>
                <w:rFonts w:ascii="宋体" w:hAnsi="宋体" w:cs="Arial"/>
                <w:i/>
                <w:szCs w:val="21"/>
              </w:rPr>
              <w:t>HIWIN/PMI</w:t>
            </w:r>
          </w:p>
        </w:tc>
        <w:tc>
          <w:tcPr>
            <w:tcW w:w="2222" w:type="dxa"/>
            <w:vAlign w:val="center"/>
          </w:tcPr>
          <w:p>
            <w:pPr>
              <w:spacing w:line="360" w:lineRule="auto"/>
              <w:rPr>
                <w:rFonts w:ascii="宋体" w:hAnsi="宋体" w:cs="Arial"/>
                <w:szCs w:val="21"/>
              </w:rPr>
            </w:pPr>
          </w:p>
        </w:tc>
        <w:tc>
          <w:tcPr>
            <w:tcW w:w="2223" w:type="dxa"/>
            <w:vAlign w:val="center"/>
          </w:tcPr>
          <w:p>
            <w:pPr>
              <w:spacing w:line="360" w:lineRule="auto"/>
              <w:rPr>
                <w:rFonts w:ascii="宋体" w:hAnsi="宋体" w:cs="Arial"/>
                <w:szCs w:val="21"/>
              </w:rPr>
            </w:pPr>
            <w:r>
              <w:rPr>
                <w:rFonts w:hint="eastAsia" w:ascii="宋体" w:hAnsi="宋体" w:cs="Arial"/>
                <w:szCs w:val="21"/>
              </w:rPr>
              <w:t>或同等级品牌</w:t>
            </w:r>
          </w:p>
        </w:tc>
      </w:tr>
    </w:tbl>
    <w:p>
      <w:pPr>
        <w:pStyle w:val="38"/>
        <w:ind w:firstLine="420"/>
      </w:pPr>
      <w:r>
        <w:rPr>
          <w:rFonts w:hint="eastAsia"/>
        </w:rPr>
        <w:t>特别说明：如有上述部件货期或其他原因导致不能满足项目交期需求，可在保证设备核心参数不变的前提下选用同档次品牌部件替换。</w:t>
      </w:r>
    </w:p>
    <w:p>
      <w:pPr>
        <w:pStyle w:val="36"/>
      </w:pPr>
      <w:bookmarkStart w:id="12" w:name="_Toc85544719"/>
      <w:r>
        <w:rPr>
          <w:rFonts w:hint="eastAsia"/>
        </w:rPr>
        <w:t>八、验收</w:t>
      </w:r>
      <w:bookmarkEnd w:id="12"/>
    </w:p>
    <w:p>
      <w:pPr>
        <w:pStyle w:val="38"/>
        <w:ind w:firstLine="420"/>
      </w:pPr>
      <w:bookmarkStart w:id="13" w:name="_Toc425289888"/>
      <w:bookmarkStart w:id="14" w:name="_Toc502237152"/>
      <w:bookmarkStart w:id="15" w:name="_Toc427575992"/>
      <w:r>
        <w:rPr>
          <w:rFonts w:hint="eastAsia"/>
        </w:rPr>
        <w:t>设备的验收分预验收和终验收。</w:t>
      </w:r>
    </w:p>
    <w:p>
      <w:pPr>
        <w:pStyle w:val="37"/>
      </w:pPr>
      <w:r>
        <w:t>8.1</w:t>
      </w:r>
      <w:r>
        <w:rPr>
          <w:rFonts w:hint="eastAsia"/>
        </w:rPr>
        <w:t>预验收及甲乙双方代表签署预验收证明</w:t>
      </w:r>
    </w:p>
    <w:p>
      <w:pPr>
        <w:pStyle w:val="29"/>
        <w:numPr>
          <w:ilvl w:val="0"/>
          <w:numId w:val="3"/>
        </w:numPr>
        <w:spacing w:line="360" w:lineRule="auto"/>
        <w:ind w:firstLineChars="0"/>
      </w:pPr>
      <w:r>
        <w:rPr>
          <w:rFonts w:hint="eastAsia"/>
        </w:rPr>
        <w:t>预验收地点：</w:t>
      </w:r>
      <w:r>
        <w:rPr>
          <w:rFonts w:hint="eastAsia"/>
          <w:u w:val="single"/>
        </w:rPr>
        <w:t>乙方工厂</w:t>
      </w:r>
      <w:r>
        <w:rPr>
          <w:rFonts w:hint="eastAsia"/>
        </w:rPr>
        <w:t>；</w:t>
      </w:r>
    </w:p>
    <w:p>
      <w:pPr>
        <w:pStyle w:val="29"/>
        <w:numPr>
          <w:ilvl w:val="0"/>
          <w:numId w:val="3"/>
        </w:numPr>
        <w:spacing w:line="360" w:lineRule="auto"/>
        <w:ind w:firstLineChars="0"/>
      </w:pPr>
      <w:r>
        <w:rPr>
          <w:rFonts w:hint="eastAsia"/>
        </w:rPr>
        <w:t>预验收条件：</w:t>
      </w:r>
      <w:r>
        <w:rPr>
          <w:rFonts w:hint="eastAsia"/>
          <w:color w:val="auto"/>
          <w:u w:val="single"/>
        </w:rPr>
        <w:t>设备稳定运行，</w:t>
      </w:r>
      <w:r>
        <w:rPr>
          <w:rFonts w:hint="eastAsia"/>
        </w:rPr>
        <w:t>由乙方提出预验收；甲方在乙方提出预验收申请之日起，</w:t>
      </w:r>
      <w:r>
        <w:rPr>
          <w:rFonts w:hint="eastAsia" w:ascii="宋体" w:hAnsi="宋体" w:cs="Arial"/>
          <w:bCs/>
          <w:szCs w:val="21"/>
        </w:rPr>
        <w:t>7日内完成。如第一次预验收不通过，甲方提出整改要求，乙方整改完成后进行第二次预验收</w:t>
      </w:r>
      <w:r>
        <w:rPr>
          <w:rFonts w:hint="eastAsia" w:ascii="宋体" w:hAnsi="宋体" w:cs="Arial"/>
          <w:bCs/>
          <w:szCs w:val="21"/>
          <w:lang w:eastAsia="zh-CN"/>
        </w:rPr>
        <w:t>，</w:t>
      </w:r>
      <w:r>
        <w:rPr>
          <w:rFonts w:hint="eastAsia" w:ascii="宋体" w:hAnsi="宋体" w:cs="Arial"/>
          <w:bCs/>
          <w:szCs w:val="21"/>
          <w:lang w:val="en-US" w:eastAsia="zh-CN"/>
        </w:rPr>
        <w:t>直到符合甲方的验收标准为止</w:t>
      </w:r>
      <w:r>
        <w:rPr>
          <w:rFonts w:hint="eastAsia" w:ascii="宋体" w:hAnsi="宋体" w:cs="Arial"/>
          <w:bCs/>
          <w:szCs w:val="21"/>
        </w:rPr>
        <w:t>。若</w:t>
      </w:r>
      <w:r>
        <w:rPr>
          <w:rFonts w:hint="eastAsia" w:ascii="宋体" w:hAnsi="宋体" w:cs="Arial"/>
          <w:bCs/>
          <w:szCs w:val="21"/>
          <w:lang w:val="en-US" w:eastAsia="zh-CN"/>
        </w:rPr>
        <w:t>甲</w:t>
      </w:r>
      <w:r>
        <w:rPr>
          <w:rFonts w:hint="eastAsia" w:ascii="宋体" w:hAnsi="宋体" w:cs="Arial"/>
          <w:bCs/>
          <w:szCs w:val="21"/>
        </w:rPr>
        <w:t>方无故不予启动预验收，则</w:t>
      </w:r>
      <w:r>
        <w:rPr>
          <w:rFonts w:hint="eastAsia" w:ascii="宋体" w:hAnsi="宋体" w:cs="Arial"/>
          <w:bCs/>
          <w:szCs w:val="21"/>
          <w:lang w:val="en-US" w:eastAsia="zh-CN"/>
        </w:rPr>
        <w:t>乙</w:t>
      </w:r>
      <w:r>
        <w:rPr>
          <w:rFonts w:hint="eastAsia" w:ascii="宋体" w:hAnsi="宋体" w:cs="Arial"/>
          <w:bCs/>
          <w:szCs w:val="21"/>
        </w:rPr>
        <w:t>方申请预验收满</w:t>
      </w:r>
      <w:r>
        <w:rPr>
          <w:rFonts w:ascii="宋体" w:hAnsi="宋体" w:cs="Arial"/>
          <w:bCs/>
          <w:szCs w:val="21"/>
        </w:rPr>
        <w:t>7</w:t>
      </w:r>
      <w:r>
        <w:rPr>
          <w:rFonts w:hint="eastAsia" w:ascii="宋体" w:hAnsi="宋体" w:cs="Arial"/>
          <w:bCs/>
          <w:szCs w:val="21"/>
        </w:rPr>
        <w:t>日，视为</w:t>
      </w:r>
      <w:r>
        <w:rPr>
          <w:rFonts w:hint="eastAsia" w:ascii="宋体" w:hAnsi="宋体" w:cs="Arial"/>
          <w:bCs/>
          <w:szCs w:val="21"/>
          <w:lang w:val="en-US" w:eastAsia="zh-CN"/>
        </w:rPr>
        <w:t>甲</w:t>
      </w:r>
      <w:r>
        <w:rPr>
          <w:rFonts w:hint="eastAsia" w:ascii="宋体" w:hAnsi="宋体" w:cs="Arial"/>
          <w:bCs/>
          <w:szCs w:val="21"/>
        </w:rPr>
        <w:t>方预验收完成，预验收合格；</w:t>
      </w:r>
    </w:p>
    <w:p>
      <w:pPr>
        <w:pStyle w:val="29"/>
        <w:numPr>
          <w:ilvl w:val="0"/>
          <w:numId w:val="3"/>
        </w:numPr>
        <w:spacing w:line="360" w:lineRule="auto"/>
        <w:ind w:firstLineChars="0"/>
      </w:pPr>
      <w:r>
        <w:rPr>
          <w:rFonts w:hint="eastAsia"/>
        </w:rPr>
        <w:t>预验收内容：根据本技术协议和相应商务合同的有关内容；</w:t>
      </w:r>
    </w:p>
    <w:p>
      <w:pPr>
        <w:pStyle w:val="29"/>
        <w:numPr>
          <w:ilvl w:val="0"/>
          <w:numId w:val="3"/>
        </w:numPr>
        <w:spacing w:line="360" w:lineRule="auto"/>
        <w:ind w:firstLineChars="0"/>
      </w:pPr>
      <w:r>
        <w:rPr>
          <w:rFonts w:hint="eastAsia"/>
        </w:rPr>
        <w:t>预验收合格标准：</w:t>
      </w:r>
    </w:p>
    <w:p>
      <w:pPr>
        <w:pStyle w:val="29"/>
        <w:spacing w:line="360" w:lineRule="auto"/>
        <w:ind w:left="840"/>
        <w:rPr>
          <w:color w:val="auto"/>
        </w:rPr>
      </w:pPr>
      <w:r>
        <w:rPr>
          <w:rFonts w:hint="eastAsia"/>
        </w:rPr>
        <w:t>1.在预定节拍下，</w:t>
      </w:r>
      <w:r>
        <w:rPr>
          <w:rFonts w:hint="eastAsia" w:ascii="宋体" w:hAnsi="宋体" w:cs="Arial"/>
          <w:bCs/>
          <w:color w:val="auto"/>
          <w:szCs w:val="21"/>
          <w:u w:val="single"/>
        </w:rPr>
        <w:t>设备连续运行4小时，无重大问题出现</w:t>
      </w:r>
      <w:r>
        <w:rPr>
          <w:rFonts w:hint="eastAsia" w:ascii="宋体" w:hAnsi="宋体" w:cs="Arial"/>
          <w:color w:val="auto"/>
          <w:szCs w:val="21"/>
          <w:u w:val="single"/>
        </w:rPr>
        <w:t>；</w:t>
      </w:r>
    </w:p>
    <w:p>
      <w:pPr>
        <w:pStyle w:val="29"/>
        <w:spacing w:line="360" w:lineRule="auto"/>
        <w:ind w:left="840"/>
      </w:pPr>
      <w:r>
        <w:rPr>
          <w:rFonts w:hint="eastAsia"/>
        </w:rPr>
        <w:t>2.设备机构功能符合预定要求。</w:t>
      </w:r>
    </w:p>
    <w:p>
      <w:pPr>
        <w:pStyle w:val="29"/>
        <w:spacing w:line="360" w:lineRule="auto"/>
        <w:ind w:left="840" w:firstLine="0" w:firstLineChars="0"/>
      </w:pPr>
      <w:r>
        <w:rPr>
          <w:rFonts w:hint="eastAsia"/>
        </w:rPr>
        <w:t>注意：甲方代表在预验收过程中需向乙方提供工件样品用于调校相关参数试验。</w:t>
      </w:r>
    </w:p>
    <w:p>
      <w:pPr>
        <w:pStyle w:val="29"/>
        <w:numPr>
          <w:ilvl w:val="0"/>
          <w:numId w:val="3"/>
        </w:numPr>
        <w:spacing w:line="360" w:lineRule="auto"/>
        <w:ind w:firstLineChars="0"/>
      </w:pPr>
      <w:r>
        <w:rPr>
          <w:rFonts w:hint="eastAsia"/>
        </w:rPr>
        <w:t>预验收通过后，双方代表签署预验收证明。预验收证明一式二份，双方各执一份。</w:t>
      </w:r>
    </w:p>
    <w:p>
      <w:pPr>
        <w:pStyle w:val="37"/>
      </w:pPr>
      <w:r>
        <w:t>8.2</w:t>
      </w:r>
      <w:r>
        <w:rPr>
          <w:rFonts w:hint="eastAsia"/>
        </w:rPr>
        <w:t>终验收及甲乙双方代表签署终验收证明</w:t>
      </w:r>
    </w:p>
    <w:p>
      <w:pPr>
        <w:pStyle w:val="29"/>
        <w:numPr>
          <w:ilvl w:val="0"/>
          <w:numId w:val="4"/>
        </w:numPr>
        <w:spacing w:line="360" w:lineRule="auto"/>
        <w:ind w:firstLineChars="0"/>
      </w:pPr>
      <w:r>
        <w:rPr>
          <w:rFonts w:hint="eastAsia"/>
        </w:rPr>
        <w:t>终验收地点：</w:t>
      </w:r>
      <w:r>
        <w:rPr>
          <w:rFonts w:hint="eastAsia"/>
          <w:u w:val="single"/>
        </w:rPr>
        <w:t>甲方</w:t>
      </w:r>
      <w:r>
        <w:rPr>
          <w:rFonts w:hint="eastAsia"/>
          <w:u w:val="single"/>
          <w:lang w:val="en-US" w:eastAsia="zh-CN"/>
        </w:rPr>
        <w:t>指定地点</w:t>
      </w:r>
      <w:r>
        <w:rPr>
          <w:rFonts w:hint="eastAsia"/>
        </w:rPr>
        <w:t>；</w:t>
      </w:r>
      <w:r>
        <w:t xml:space="preserve"> </w:t>
      </w:r>
    </w:p>
    <w:p>
      <w:pPr>
        <w:pStyle w:val="29"/>
        <w:numPr>
          <w:ilvl w:val="0"/>
          <w:numId w:val="4"/>
        </w:numPr>
        <w:spacing w:line="360" w:lineRule="auto"/>
        <w:ind w:firstLineChars="0"/>
      </w:pPr>
      <w:r>
        <w:rPr>
          <w:rFonts w:hint="eastAsia"/>
        </w:rPr>
        <w:t>终验收条件：设备安装调试完成，系统运行稳定，资料齐备，由乙方提出终验收，甲方须在乙方提出终验收之日起</w:t>
      </w:r>
      <w:r>
        <w:rPr>
          <w:rFonts w:hint="eastAsia"/>
          <w:u w:val="single"/>
          <w:lang w:val="en-US" w:eastAsia="zh-CN"/>
        </w:rPr>
        <w:t>7</w:t>
      </w:r>
      <w:r>
        <w:rPr>
          <w:rFonts w:hint="eastAsia"/>
        </w:rPr>
        <w:t>日内启动终验收程序，若甲方无故不予启动终验收，则乙方申请终验收满</w:t>
      </w:r>
      <w:r>
        <w:rPr>
          <w:rFonts w:hint="eastAsia"/>
          <w:u w:val="single"/>
          <w:lang w:val="en-US" w:eastAsia="zh-CN"/>
        </w:rPr>
        <w:t>7</w:t>
      </w:r>
      <w:r>
        <w:rPr>
          <w:rFonts w:hint="eastAsia"/>
        </w:rPr>
        <w:t>日，视为甲方终验收完成，终验收合格；</w:t>
      </w:r>
    </w:p>
    <w:p>
      <w:pPr>
        <w:pStyle w:val="29"/>
        <w:numPr>
          <w:ilvl w:val="0"/>
          <w:numId w:val="4"/>
        </w:numPr>
        <w:spacing w:line="360" w:lineRule="auto"/>
        <w:ind w:firstLineChars="0"/>
      </w:pPr>
      <w:r>
        <w:rPr>
          <w:rFonts w:hint="eastAsia"/>
        </w:rPr>
        <w:t>终验收内容：根据本技术协议和相应商务合同的有关内容；</w:t>
      </w:r>
    </w:p>
    <w:p>
      <w:pPr>
        <w:pStyle w:val="29"/>
        <w:numPr>
          <w:ilvl w:val="0"/>
          <w:numId w:val="4"/>
        </w:numPr>
        <w:snapToGrid w:val="0"/>
        <w:spacing w:line="360" w:lineRule="auto"/>
        <w:ind w:firstLineChars="0"/>
        <w:rPr>
          <w:rFonts w:ascii="宋体" w:hAnsi="宋体" w:cs="Arial"/>
          <w:bCs/>
          <w:szCs w:val="21"/>
        </w:rPr>
      </w:pPr>
      <w:r>
        <w:rPr>
          <w:rFonts w:hint="eastAsia" w:ascii="宋体" w:hAnsi="宋体" w:cs="Arial"/>
          <w:bCs/>
          <w:szCs w:val="21"/>
        </w:rPr>
        <w:t>终验收合格标准：</w:t>
      </w:r>
    </w:p>
    <w:p>
      <w:pPr>
        <w:pStyle w:val="29"/>
        <w:spacing w:line="360" w:lineRule="auto"/>
        <w:ind w:left="840" w:firstLine="0" w:firstLineChars="0"/>
        <w:rPr>
          <w:rFonts w:ascii="宋体" w:hAnsi="宋体" w:cs="Arial"/>
          <w:bCs/>
          <w:color w:val="auto"/>
          <w:szCs w:val="21"/>
          <w:u w:val="single"/>
        </w:rPr>
      </w:pPr>
      <w:r>
        <w:rPr>
          <w:rFonts w:hint="eastAsia"/>
          <w:color w:val="auto"/>
        </w:rPr>
        <w:t>1</w:t>
      </w:r>
      <w:r>
        <w:rPr>
          <w:color w:val="auto"/>
        </w:rPr>
        <w:t>.</w:t>
      </w:r>
      <w:r>
        <w:rPr>
          <w:rFonts w:hint="eastAsia"/>
          <w:color w:val="auto"/>
          <w:u w:val="single"/>
        </w:rPr>
        <w:t>系统连续稳定运行1周，</w:t>
      </w:r>
      <w:r>
        <w:rPr>
          <w:rFonts w:hint="eastAsia" w:ascii="宋体" w:hAnsi="宋体"/>
          <w:color w:val="auto"/>
          <w:szCs w:val="21"/>
          <w:u w:val="single"/>
        </w:rPr>
        <w:t>无严重故障，</w:t>
      </w:r>
      <w:r>
        <w:rPr>
          <w:rFonts w:hint="eastAsia"/>
          <w:color w:val="auto"/>
          <w:u w:val="single"/>
        </w:rPr>
        <w:t>系统调试达到功能和性能要求，且资料齐备；</w:t>
      </w:r>
    </w:p>
    <w:p>
      <w:pPr>
        <w:pStyle w:val="29"/>
        <w:spacing w:line="360" w:lineRule="auto"/>
        <w:ind w:left="840" w:firstLine="0" w:firstLineChars="0"/>
        <w:rPr>
          <w:color w:val="FF0000"/>
          <w:u w:val="single"/>
        </w:rPr>
      </w:pPr>
      <w:r>
        <w:rPr>
          <w:rFonts w:hint="eastAsia"/>
          <w:color w:val="auto"/>
          <w:u w:val="single"/>
        </w:rPr>
        <w:t>2</w:t>
      </w:r>
      <w:r>
        <w:rPr>
          <w:color w:val="auto"/>
          <w:u w:val="single"/>
        </w:rPr>
        <w:t>.</w:t>
      </w:r>
      <w:r>
        <w:rPr>
          <w:rFonts w:hint="eastAsia"/>
          <w:color w:val="auto"/>
          <w:u w:val="single"/>
        </w:rPr>
        <w:t>设备满足本技术协议规定的内容8</w:t>
      </w:r>
      <w:r>
        <w:rPr>
          <w:color w:val="auto"/>
          <w:u w:val="single"/>
        </w:rPr>
        <w:t>.2.7</w:t>
      </w:r>
      <w:r>
        <w:rPr>
          <w:rFonts w:hint="eastAsia"/>
          <w:color w:val="auto"/>
          <w:u w:val="single"/>
        </w:rPr>
        <w:t>）。</w:t>
      </w:r>
    </w:p>
    <w:p>
      <w:pPr>
        <w:pStyle w:val="29"/>
        <w:numPr>
          <w:ilvl w:val="0"/>
          <w:numId w:val="4"/>
        </w:numPr>
        <w:spacing w:line="360" w:lineRule="auto"/>
        <w:ind w:firstLineChars="0"/>
      </w:pPr>
      <w:r>
        <w:rPr>
          <w:rFonts w:hint="eastAsia"/>
        </w:rPr>
        <w:t>终验通过后，甲乙双方代表签署终验收证明。终验收证明一式两份，双方各执一份。</w:t>
      </w:r>
    </w:p>
    <w:p>
      <w:pPr>
        <w:pStyle w:val="29"/>
        <w:numPr>
          <w:ilvl w:val="0"/>
          <w:numId w:val="4"/>
        </w:numPr>
        <w:spacing w:line="360" w:lineRule="auto"/>
        <w:ind w:firstLineChars="0"/>
      </w:pPr>
      <w:r>
        <w:rPr>
          <w:rFonts w:hint="eastAsia" w:ascii="宋体" w:hAnsi="宋体" w:cs="Arial"/>
          <w:bCs/>
          <w:szCs w:val="21"/>
        </w:rPr>
        <w:t>自验收合格之日起，系统进入质保期。</w:t>
      </w:r>
      <w:r>
        <w:rPr>
          <w:rFonts w:hint="eastAsia"/>
        </w:rPr>
        <w:t xml:space="preserve"> </w:t>
      </w:r>
    </w:p>
    <w:p>
      <w:pPr>
        <w:pStyle w:val="29"/>
        <w:numPr>
          <w:ilvl w:val="0"/>
          <w:numId w:val="4"/>
        </w:numPr>
        <w:spacing w:line="360" w:lineRule="auto"/>
        <w:ind w:firstLineChars="0"/>
      </w:pPr>
      <w:r>
        <w:rPr>
          <w:rFonts w:hint="eastAsia" w:ascii="宋体" w:hAnsi="宋体" w:cs="Arial"/>
          <w:bCs/>
          <w:szCs w:val="21"/>
        </w:rPr>
        <w:t>验收完成，乙方提供以下资料：</w:t>
      </w:r>
    </w:p>
    <w:tbl>
      <w:tblPr>
        <w:tblStyle w:val="21"/>
        <w:tblW w:w="878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60"/>
        <w:gridCol w:w="2411"/>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956" w:type="dxa"/>
            <w:shd w:val="clear" w:color="auto" w:fill="F1F1F1" w:themeFill="background1" w:themeFillShade="F2"/>
            <w:vAlign w:val="center"/>
          </w:tcPr>
          <w:p>
            <w:pPr>
              <w:snapToGrid w:val="0"/>
              <w:spacing w:line="360" w:lineRule="auto"/>
              <w:jc w:val="center"/>
              <w:rPr>
                <w:rFonts w:ascii="宋体" w:hAnsi="宋体" w:cs="Arial"/>
                <w:b/>
                <w:bCs/>
                <w:szCs w:val="21"/>
              </w:rPr>
            </w:pPr>
            <w:r>
              <w:rPr>
                <w:rFonts w:hint="eastAsia" w:ascii="宋体" w:hAnsi="宋体" w:cs="Arial"/>
                <w:b/>
                <w:bCs/>
                <w:szCs w:val="21"/>
              </w:rPr>
              <w:t>序号</w:t>
            </w:r>
          </w:p>
        </w:tc>
        <w:tc>
          <w:tcPr>
            <w:tcW w:w="3060" w:type="dxa"/>
            <w:shd w:val="clear" w:color="auto" w:fill="F1F1F1" w:themeFill="background1" w:themeFillShade="F2"/>
            <w:vAlign w:val="center"/>
          </w:tcPr>
          <w:p>
            <w:pPr>
              <w:snapToGrid w:val="0"/>
              <w:spacing w:line="360" w:lineRule="auto"/>
              <w:jc w:val="center"/>
              <w:rPr>
                <w:rFonts w:ascii="宋体" w:hAnsi="宋体" w:cs="Arial"/>
                <w:b/>
                <w:bCs/>
                <w:szCs w:val="21"/>
              </w:rPr>
            </w:pPr>
            <w:r>
              <w:rPr>
                <w:rFonts w:hint="eastAsia" w:ascii="宋体" w:hAnsi="宋体" w:cs="Arial"/>
                <w:b/>
                <w:bCs/>
                <w:szCs w:val="21"/>
              </w:rPr>
              <w:t>资料名称</w:t>
            </w:r>
          </w:p>
        </w:tc>
        <w:tc>
          <w:tcPr>
            <w:tcW w:w="2411" w:type="dxa"/>
            <w:shd w:val="clear" w:color="auto" w:fill="F1F1F1" w:themeFill="background1" w:themeFillShade="F2"/>
            <w:vAlign w:val="center"/>
          </w:tcPr>
          <w:p>
            <w:pPr>
              <w:snapToGrid w:val="0"/>
              <w:spacing w:line="360" w:lineRule="auto"/>
              <w:jc w:val="center"/>
              <w:rPr>
                <w:rFonts w:ascii="宋体" w:hAnsi="宋体" w:cs="Arial"/>
                <w:b/>
                <w:bCs/>
                <w:szCs w:val="21"/>
              </w:rPr>
            </w:pPr>
            <w:r>
              <w:rPr>
                <w:rFonts w:hint="eastAsia" w:ascii="宋体" w:hAnsi="宋体" w:cs="Arial"/>
                <w:b/>
                <w:bCs/>
                <w:szCs w:val="21"/>
              </w:rPr>
              <w:t>文字</w:t>
            </w:r>
          </w:p>
        </w:tc>
        <w:tc>
          <w:tcPr>
            <w:tcW w:w="2362" w:type="dxa"/>
            <w:shd w:val="clear" w:color="auto" w:fill="F1F1F1" w:themeFill="background1" w:themeFillShade="F2"/>
            <w:vAlign w:val="center"/>
          </w:tcPr>
          <w:p>
            <w:pPr>
              <w:snapToGrid w:val="0"/>
              <w:spacing w:line="360" w:lineRule="auto"/>
              <w:jc w:val="center"/>
              <w:rPr>
                <w:rFonts w:ascii="宋体" w:hAnsi="宋体" w:cs="Arial"/>
                <w:b/>
                <w:bCs/>
                <w:szCs w:val="21"/>
              </w:rPr>
            </w:pPr>
            <w:r>
              <w:rPr>
                <w:rFonts w:hint="eastAsia" w:ascii="宋体" w:hAnsi="宋体" w:cs="Arial"/>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6"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060"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易损件易耗件清单</w:t>
            </w:r>
          </w:p>
        </w:tc>
        <w:tc>
          <w:tcPr>
            <w:tcW w:w="2411"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2362"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6"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060"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装箱清单</w:t>
            </w:r>
          </w:p>
        </w:tc>
        <w:tc>
          <w:tcPr>
            <w:tcW w:w="2411"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2362"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6"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060"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产品操作说明书</w:t>
            </w:r>
          </w:p>
        </w:tc>
        <w:tc>
          <w:tcPr>
            <w:tcW w:w="2411"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2362"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956"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3060"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维护保养手册</w:t>
            </w:r>
          </w:p>
        </w:tc>
        <w:tc>
          <w:tcPr>
            <w:tcW w:w="2411"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2362"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r>
    </w:tbl>
    <w:p>
      <w:pPr>
        <w:pStyle w:val="29"/>
        <w:spacing w:line="360" w:lineRule="auto"/>
        <w:ind w:left="840" w:firstLine="0" w:firstLineChars="0"/>
        <w:rPr>
          <w:rFonts w:ascii="宋体" w:hAnsi="宋体" w:cs="Arial"/>
          <w:bCs/>
          <w:szCs w:val="21"/>
        </w:rPr>
      </w:pPr>
    </w:p>
    <w:p>
      <w:pPr>
        <w:pStyle w:val="29"/>
        <w:numPr>
          <w:ilvl w:val="0"/>
          <w:numId w:val="4"/>
        </w:numPr>
        <w:spacing w:line="360" w:lineRule="auto"/>
        <w:ind w:firstLineChars="0"/>
        <w:rPr>
          <w:rFonts w:ascii="宋体" w:hAnsi="宋体" w:cs="Arial"/>
          <w:bCs/>
          <w:szCs w:val="21"/>
        </w:rPr>
      </w:pPr>
      <w:r>
        <w:rPr>
          <w:rFonts w:hint="eastAsia" w:ascii="宋体" w:hAnsi="宋体" w:cs="Arial"/>
          <w:bCs/>
          <w:szCs w:val="21"/>
        </w:rPr>
        <w:t>终验收条目</w:t>
      </w:r>
    </w:p>
    <w:tbl>
      <w:tblPr>
        <w:tblStyle w:val="21"/>
        <w:tblW w:w="878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4287"/>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07"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01</w:t>
            </w:r>
          </w:p>
        </w:tc>
        <w:tc>
          <w:tcPr>
            <w:tcW w:w="4287" w:type="dxa"/>
            <w:vAlign w:val="center"/>
          </w:tcPr>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szCs w:val="21"/>
              </w:rPr>
              <w:t>跑步机连续一周不断重复以下操作流程以实现细菌种群连续趋化运动一周时间（其间甲方负责及时添加培养基凝胶以及清理废板）：细菌种群前锋迁移到第二块板子的指定位置（如板身长1</w:t>
            </w:r>
            <w:r>
              <w:rPr>
                <w:rFonts w:asciiTheme="minorEastAsia" w:hAnsiTheme="minorEastAsia" w:eastAsiaTheme="minorEastAsia"/>
                <w:szCs w:val="21"/>
              </w:rPr>
              <w:t>/3</w:t>
            </w:r>
            <w:r>
              <w:rPr>
                <w:rFonts w:hint="eastAsia" w:asciiTheme="minorEastAsia" w:hAnsiTheme="minorEastAsia" w:eastAsiaTheme="minorEastAsia"/>
                <w:szCs w:val="21"/>
              </w:rPr>
              <w:t>处）后，机器开始执行推板（把细菌已经跑过的第一块板子推入废板箱）、放新板、灌胶。</w:t>
            </w:r>
          </w:p>
        </w:tc>
        <w:tc>
          <w:tcPr>
            <w:tcW w:w="3195"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1307" w:type="dxa"/>
            <w:vAlign w:val="center"/>
          </w:tcPr>
          <w:p>
            <w:pPr>
              <w:snapToGrid w:val="0"/>
              <w:spacing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URS</w:t>
            </w:r>
            <w:r>
              <w:rPr>
                <w:rFonts w:asciiTheme="minorEastAsia" w:hAnsiTheme="minorEastAsia" w:eastAsiaTheme="minorEastAsia"/>
                <w:szCs w:val="21"/>
              </w:rPr>
              <w:t>0</w:t>
            </w:r>
            <w:r>
              <w:rPr>
                <w:rFonts w:hint="eastAsia" w:asciiTheme="minorEastAsia" w:hAnsiTheme="minorEastAsia" w:eastAsiaTheme="minorEastAsia"/>
                <w:szCs w:val="21"/>
                <w:lang w:val="en-US" w:eastAsia="zh-CN"/>
              </w:rPr>
              <w:t>2</w:t>
            </w:r>
          </w:p>
        </w:tc>
        <w:tc>
          <w:tcPr>
            <w:tcW w:w="4287" w:type="dxa"/>
            <w:vAlign w:val="center"/>
          </w:tcPr>
          <w:p>
            <w:pPr>
              <w:snapToGrid w:val="0"/>
              <w:spacing w:line="360" w:lineRule="auto"/>
              <w:jc w:val="center"/>
              <w:rPr>
                <w:rFonts w:asciiTheme="minorEastAsia" w:hAnsiTheme="minorEastAsia" w:eastAsiaTheme="minorEastAsia"/>
                <w:b/>
                <w:szCs w:val="21"/>
              </w:rPr>
            </w:pPr>
            <w:r>
              <w:rPr>
                <w:rFonts w:hint="eastAsia" w:asciiTheme="minorEastAsia" w:hAnsiTheme="minorEastAsia" w:eastAsiaTheme="minorEastAsia"/>
                <w:szCs w:val="21"/>
              </w:rPr>
              <w:t>一周内，板子不漏胶</w:t>
            </w:r>
          </w:p>
        </w:tc>
        <w:tc>
          <w:tcPr>
            <w:tcW w:w="3195"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w:t>
            </w:r>
            <w:r>
              <w:rPr>
                <w:rFonts w:hint="eastAsia" w:asciiTheme="minorEastAsia" w:hAnsiTheme="minorEastAsia" w:eastAsiaTheme="minor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07"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03</w:t>
            </w:r>
          </w:p>
        </w:tc>
        <w:tc>
          <w:tcPr>
            <w:tcW w:w="4287" w:type="dxa"/>
            <w:vAlign w:val="center"/>
          </w:tcPr>
          <w:p>
            <w:pPr>
              <w:snapToGrid w:val="0"/>
              <w:spacing w:line="360" w:lineRule="auto"/>
              <w:jc w:val="center"/>
              <w:rPr>
                <w:rFonts w:hint="default" w:asciiTheme="minorEastAsia" w:hAnsiTheme="minorEastAsia" w:eastAsiaTheme="minorEastAsia"/>
                <w:b/>
                <w:szCs w:val="21"/>
                <w:lang w:val="en-US" w:eastAsia="zh-CN"/>
              </w:rPr>
            </w:pPr>
            <w:r>
              <w:rPr>
                <w:rFonts w:hint="eastAsia" w:asciiTheme="minorEastAsia" w:hAnsiTheme="minorEastAsia" w:eastAsiaTheme="minorEastAsia"/>
                <w:szCs w:val="21"/>
              </w:rPr>
              <w:t>板子所在的空间一直恒温3</w:t>
            </w:r>
            <w:r>
              <w:rPr>
                <w:rFonts w:asciiTheme="minorEastAsia" w:hAnsiTheme="minorEastAsia" w:eastAsiaTheme="minorEastAsia"/>
                <w:szCs w:val="21"/>
              </w:rPr>
              <w:t>0+/-3</w:t>
            </w:r>
            <w:r>
              <w:rPr>
                <w:rFonts w:hint="eastAsia" w:asciiTheme="minorEastAsia" w:hAnsiTheme="minorEastAsia" w:eastAsiaTheme="minorEastAsia"/>
                <w:szCs w:val="21"/>
              </w:rPr>
              <w:t>度,并且实时监控并保存温度数据，以便随时查看</w:t>
            </w:r>
            <w:bookmarkStart w:id="37" w:name="_GoBack"/>
            <w:bookmarkEnd w:id="37"/>
          </w:p>
        </w:tc>
        <w:tc>
          <w:tcPr>
            <w:tcW w:w="3195"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07" w:type="dxa"/>
            <w:vAlign w:val="center"/>
          </w:tcPr>
          <w:p>
            <w:pPr>
              <w:snapToGrid w:val="0"/>
              <w:spacing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URS</w:t>
            </w:r>
            <w:r>
              <w:rPr>
                <w:rFonts w:asciiTheme="minorEastAsia" w:hAnsiTheme="minorEastAsia" w:eastAsiaTheme="minorEastAsia"/>
                <w:szCs w:val="21"/>
              </w:rPr>
              <w:t>0</w:t>
            </w:r>
            <w:r>
              <w:rPr>
                <w:rFonts w:hint="eastAsia" w:asciiTheme="minorEastAsia" w:hAnsiTheme="minorEastAsia" w:eastAsiaTheme="minorEastAsia"/>
                <w:szCs w:val="21"/>
                <w:lang w:val="en-US" w:eastAsia="zh-CN"/>
              </w:rPr>
              <w:t>4</w:t>
            </w:r>
          </w:p>
        </w:tc>
        <w:tc>
          <w:tcPr>
            <w:tcW w:w="4287" w:type="dxa"/>
            <w:vAlign w:val="center"/>
          </w:tcPr>
          <w:p>
            <w:pPr>
              <w:snapToGrid w:val="0"/>
              <w:spacing w:line="360" w:lineRule="auto"/>
              <w:jc w:val="center"/>
              <w:rPr>
                <w:rFonts w:asciiTheme="minorEastAsia" w:hAnsiTheme="minorEastAsia" w:eastAsiaTheme="minorEastAsia"/>
                <w:b/>
                <w:szCs w:val="21"/>
              </w:rPr>
            </w:pPr>
            <w:r>
              <w:rPr>
                <w:rFonts w:hint="eastAsia" w:asciiTheme="minorEastAsia" w:hAnsiTheme="minorEastAsia" w:eastAsiaTheme="minorEastAsia"/>
                <w:szCs w:val="21"/>
              </w:rPr>
              <w:t>触发操作流程的板子照片（细菌迁移到指定位置了）存档到本地硬盘或者服务器，以便随时查看。</w:t>
            </w:r>
          </w:p>
        </w:tc>
        <w:tc>
          <w:tcPr>
            <w:tcW w:w="3195" w:type="dxa"/>
            <w:vAlign w:val="center"/>
          </w:tcPr>
          <w:p>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URS</w:t>
            </w:r>
            <w:r>
              <w:rPr>
                <w:rFonts w:asciiTheme="minorEastAsia" w:hAnsiTheme="minorEastAsia" w:eastAsiaTheme="minorEastAsia"/>
                <w:szCs w:val="21"/>
              </w:rPr>
              <w:t>0</w:t>
            </w:r>
            <w:r>
              <w:rPr>
                <w:rFonts w:hint="eastAsia" w:asciiTheme="minorEastAsia" w:hAnsiTheme="minorEastAsia" w:eastAsiaTheme="minorEastAsia"/>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07" w:type="dxa"/>
            <w:vAlign w:val="center"/>
          </w:tcPr>
          <w:p>
            <w:pPr>
              <w:snapToGrid w:val="0"/>
              <w:spacing w:line="360" w:lineRule="auto"/>
              <w:jc w:val="center"/>
              <w:rPr>
                <w:rFonts w:asciiTheme="minorEastAsia" w:hAnsiTheme="minorEastAsia" w:eastAsiaTheme="minorEastAsia"/>
                <w:szCs w:val="21"/>
              </w:rPr>
            </w:pPr>
          </w:p>
        </w:tc>
        <w:tc>
          <w:tcPr>
            <w:tcW w:w="4287" w:type="dxa"/>
            <w:vAlign w:val="center"/>
          </w:tcPr>
          <w:p>
            <w:pPr>
              <w:snapToGrid w:val="0"/>
              <w:spacing w:line="360" w:lineRule="auto"/>
              <w:jc w:val="center"/>
              <w:rPr>
                <w:rFonts w:asciiTheme="minorEastAsia" w:hAnsiTheme="minorEastAsia" w:eastAsiaTheme="minorEastAsia"/>
                <w:b/>
                <w:szCs w:val="21"/>
              </w:rPr>
            </w:pPr>
          </w:p>
        </w:tc>
        <w:tc>
          <w:tcPr>
            <w:tcW w:w="3195" w:type="dxa"/>
            <w:vAlign w:val="center"/>
          </w:tcPr>
          <w:p>
            <w:pPr>
              <w:snapToGrid w:val="0"/>
              <w:spacing w:line="360"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1307" w:type="dxa"/>
            <w:vAlign w:val="center"/>
          </w:tcPr>
          <w:p>
            <w:pPr>
              <w:snapToGrid w:val="0"/>
              <w:spacing w:line="360" w:lineRule="auto"/>
              <w:jc w:val="center"/>
              <w:rPr>
                <w:rFonts w:asciiTheme="minorEastAsia" w:hAnsiTheme="minorEastAsia" w:eastAsiaTheme="minorEastAsia"/>
                <w:szCs w:val="21"/>
              </w:rPr>
            </w:pPr>
          </w:p>
        </w:tc>
        <w:tc>
          <w:tcPr>
            <w:tcW w:w="4287" w:type="dxa"/>
            <w:vAlign w:val="center"/>
          </w:tcPr>
          <w:p>
            <w:pPr>
              <w:snapToGrid w:val="0"/>
              <w:spacing w:line="360" w:lineRule="auto"/>
              <w:jc w:val="center"/>
              <w:rPr>
                <w:rFonts w:asciiTheme="minorEastAsia" w:hAnsiTheme="minorEastAsia" w:eastAsiaTheme="minorEastAsia"/>
                <w:b/>
                <w:szCs w:val="21"/>
              </w:rPr>
            </w:pPr>
          </w:p>
        </w:tc>
        <w:tc>
          <w:tcPr>
            <w:tcW w:w="3195" w:type="dxa"/>
            <w:vAlign w:val="center"/>
          </w:tcPr>
          <w:p>
            <w:pPr>
              <w:snapToGrid w:val="0"/>
              <w:spacing w:line="360" w:lineRule="auto"/>
              <w:jc w:val="center"/>
              <w:rPr>
                <w:rFonts w:asciiTheme="minorEastAsia" w:hAnsiTheme="minorEastAsia" w:eastAsiaTheme="minorEastAsia"/>
                <w:szCs w:val="21"/>
              </w:rPr>
            </w:pPr>
          </w:p>
        </w:tc>
      </w:tr>
      <w:bookmarkEnd w:id="13"/>
      <w:bookmarkEnd w:id="14"/>
      <w:bookmarkEnd w:id="15"/>
    </w:tbl>
    <w:p>
      <w:pPr>
        <w:pStyle w:val="36"/>
        <w:rPr>
          <w:rFonts w:ascii="宋体" w:hAnsi="宋体" w:cs="Arial"/>
          <w:bCs/>
          <w:szCs w:val="21"/>
        </w:rPr>
      </w:pPr>
      <w:bookmarkStart w:id="16" w:name="_Toc85544720"/>
      <w:r>
        <w:rPr>
          <w:rFonts w:hint="eastAsia" w:ascii="宋体" w:hAnsi="宋体" w:cs="Arial"/>
          <w:bCs/>
          <w:szCs w:val="21"/>
        </w:rPr>
        <w:t>九、双方责任</w:t>
      </w:r>
      <w:bookmarkEnd w:id="16"/>
    </w:p>
    <w:p>
      <w:pPr>
        <w:pStyle w:val="37"/>
      </w:pPr>
      <w:r>
        <w:t>9.1</w:t>
      </w:r>
      <w:r>
        <w:rPr>
          <w:rFonts w:hint="eastAsia"/>
        </w:rPr>
        <w:t>甲方责任</w:t>
      </w:r>
    </w:p>
    <w:p>
      <w:pPr>
        <w:numPr>
          <w:ilvl w:val="0"/>
          <w:numId w:val="5"/>
        </w:numPr>
        <w:autoSpaceDE w:val="0"/>
        <w:autoSpaceDN w:val="0"/>
        <w:adjustRightInd w:val="0"/>
        <w:spacing w:line="360" w:lineRule="auto"/>
        <w:ind w:left="420" w:leftChars="200" w:firstLine="0"/>
        <w:jc w:val="left"/>
        <w:rPr>
          <w:rFonts w:ascii="宋体" w:hAnsi="宋体"/>
          <w:szCs w:val="24"/>
        </w:rPr>
      </w:pPr>
      <w:r>
        <w:rPr>
          <w:rFonts w:ascii="宋体" w:hAnsi="宋体"/>
          <w:szCs w:val="24"/>
        </w:rPr>
        <w:t>在合同正式生效后的</w:t>
      </w:r>
      <w:r>
        <w:rPr>
          <w:rFonts w:hint="eastAsia" w:ascii="宋体" w:hAnsi="宋体"/>
          <w:szCs w:val="24"/>
        </w:rPr>
        <w:t>5个工作</w:t>
      </w:r>
      <w:r>
        <w:rPr>
          <w:rFonts w:ascii="宋体" w:hAnsi="宋体"/>
          <w:szCs w:val="24"/>
        </w:rPr>
        <w:t>日内，甲方向乙方提供完整的工件图纸</w:t>
      </w:r>
      <w:r>
        <w:rPr>
          <w:rFonts w:hint="eastAsia" w:ascii="宋体" w:hAnsi="宋体"/>
          <w:szCs w:val="24"/>
        </w:rPr>
        <w:t>、工件或其他辅助件样品，</w:t>
      </w:r>
      <w:r>
        <w:rPr>
          <w:rFonts w:ascii="宋体" w:hAnsi="宋体"/>
          <w:szCs w:val="24"/>
        </w:rPr>
        <w:t>并向乙方提供甲方详细的生产工艺要求</w:t>
      </w:r>
      <w:r>
        <w:rPr>
          <w:rFonts w:hint="eastAsia" w:ascii="宋体" w:hAnsi="宋体"/>
          <w:szCs w:val="24"/>
        </w:rPr>
        <w:t>、工件偏差尺寸及设备通讯方式</w:t>
      </w:r>
      <w:r>
        <w:rPr>
          <w:rFonts w:ascii="宋体" w:hAnsi="宋体"/>
          <w:szCs w:val="24"/>
        </w:rPr>
        <w:t>等技术信息，以保证项目的正常进行。</w:t>
      </w:r>
      <w:r>
        <w:rPr>
          <w:rFonts w:hint="eastAsia" w:ascii="宋体" w:hAnsi="宋体"/>
          <w:szCs w:val="24"/>
        </w:rPr>
        <w:t>若甲方无法提供则须甲方予以书面说明并授权乙方自行解决，并由甲方自行承担因未知工艺要求或工件尺寸误差等未知因素所导致的相关责任及相关费用。</w:t>
      </w:r>
    </w:p>
    <w:p>
      <w:pPr>
        <w:pStyle w:val="29"/>
        <w:numPr>
          <w:ilvl w:val="0"/>
          <w:numId w:val="5"/>
        </w:numPr>
        <w:spacing w:line="360" w:lineRule="auto"/>
        <w:ind w:left="425" w:firstLine="0" w:firstLineChars="0"/>
        <w:rPr>
          <w:rFonts w:hAnsi="宋体"/>
          <w:szCs w:val="24"/>
        </w:rPr>
      </w:pPr>
      <w:r>
        <w:rPr>
          <w:rFonts w:hAnsi="宋体"/>
          <w:szCs w:val="24"/>
        </w:rPr>
        <w:t>甲方负责提供在系统设备安装调试过程中所涉及的其他事宜，</w:t>
      </w:r>
      <w:r>
        <w:rPr>
          <w:rFonts w:hint="eastAsia" w:hAnsi="宋体"/>
          <w:szCs w:val="24"/>
        </w:rPr>
        <w:t>包括但不限于设备用电所需的交流电及相关电路、墙体改造</w:t>
      </w:r>
      <w:r>
        <w:rPr>
          <w:rFonts w:hAnsi="宋体"/>
          <w:szCs w:val="24"/>
        </w:rPr>
        <w:t>、车间生产必须的照明、</w:t>
      </w:r>
      <w:r>
        <w:rPr>
          <w:rFonts w:hint="eastAsia" w:hAnsi="宋体"/>
          <w:szCs w:val="24"/>
        </w:rPr>
        <w:t>空调等</w:t>
      </w:r>
      <w:r>
        <w:rPr>
          <w:rFonts w:hAnsi="宋体"/>
          <w:szCs w:val="24"/>
        </w:rPr>
        <w:t>所有涉及基础</w:t>
      </w:r>
      <w:r>
        <w:rPr>
          <w:rFonts w:hint="eastAsia" w:hAnsi="宋体"/>
          <w:szCs w:val="24"/>
        </w:rPr>
        <w:t>设施</w:t>
      </w:r>
      <w:r>
        <w:rPr>
          <w:rFonts w:hAnsi="宋体"/>
          <w:szCs w:val="24"/>
        </w:rPr>
        <w:t>。</w:t>
      </w:r>
    </w:p>
    <w:p>
      <w:pPr>
        <w:pStyle w:val="29"/>
        <w:numPr>
          <w:ilvl w:val="0"/>
          <w:numId w:val="5"/>
        </w:numPr>
        <w:spacing w:line="360" w:lineRule="auto"/>
        <w:ind w:left="425" w:firstLine="0" w:firstLineChars="0"/>
        <w:rPr>
          <w:rFonts w:hAnsi="宋体"/>
          <w:szCs w:val="24"/>
        </w:rPr>
      </w:pPr>
      <w:r>
        <w:rPr>
          <w:rFonts w:hint="eastAsia" w:hAnsi="宋体"/>
          <w:szCs w:val="24"/>
          <w:lang w:val="en-US" w:eastAsia="zh-CN"/>
        </w:rPr>
        <w:t>乙方提前告知甲方系统设备调试过程中调试用工件及辅料满足调试需求的明确的数量、质量等。</w:t>
      </w:r>
      <w:r>
        <w:rPr>
          <w:rFonts w:hAnsi="宋体"/>
          <w:szCs w:val="24"/>
        </w:rPr>
        <w:t>甲方应保证乙方在系统设备调试过程中有足够的调试用工件及辅料，对由于调试用工件及辅料缺失造成的项目进度的推迟，甲方承担全部责任</w:t>
      </w:r>
      <w:r>
        <w:rPr>
          <w:rFonts w:hint="eastAsia" w:hAnsi="宋体"/>
          <w:szCs w:val="24"/>
        </w:rPr>
        <w:t>。</w:t>
      </w:r>
    </w:p>
    <w:p>
      <w:pPr>
        <w:numPr>
          <w:ilvl w:val="0"/>
          <w:numId w:val="5"/>
        </w:numPr>
        <w:autoSpaceDE w:val="0"/>
        <w:autoSpaceDN w:val="0"/>
        <w:adjustRightInd w:val="0"/>
        <w:spacing w:line="360" w:lineRule="auto"/>
        <w:ind w:left="420" w:leftChars="200" w:firstLine="0"/>
        <w:jc w:val="left"/>
        <w:rPr>
          <w:rFonts w:ascii="宋体" w:hAnsi="宋体"/>
          <w:szCs w:val="24"/>
        </w:rPr>
      </w:pPr>
      <w:r>
        <w:rPr>
          <w:rFonts w:ascii="宋体" w:hAnsi="宋体"/>
          <w:szCs w:val="24"/>
        </w:rPr>
        <w:t>甲方在设备的安装、调试、运转、维护过程中要遵守使用说明书中规定的安全、使用规程，避免造成设备损坏和人身伤亡事故。</w:t>
      </w:r>
      <w:r>
        <w:rPr>
          <w:rFonts w:hint="eastAsia" w:ascii="宋体" w:hAnsi="宋体"/>
          <w:szCs w:val="24"/>
        </w:rPr>
        <w:t>甲方因未遵守</w:t>
      </w:r>
      <w:r>
        <w:rPr>
          <w:rFonts w:ascii="宋体" w:hAnsi="宋体"/>
          <w:szCs w:val="24"/>
        </w:rPr>
        <w:t>使用说明书中规定的安全、使用规程</w:t>
      </w:r>
      <w:r>
        <w:rPr>
          <w:rFonts w:hint="eastAsia" w:ascii="宋体" w:hAnsi="宋体"/>
          <w:szCs w:val="24"/>
        </w:rPr>
        <w:t>产生的全部损失（包括但不限于设备损坏、人身伤亡事故等），由</w:t>
      </w:r>
      <w:r>
        <w:rPr>
          <w:rFonts w:hint="eastAsia" w:ascii="宋体" w:hAnsi="宋体"/>
          <w:szCs w:val="24"/>
          <w:lang w:val="en-US" w:eastAsia="zh-CN"/>
        </w:rPr>
        <w:t>甲</w:t>
      </w:r>
      <w:r>
        <w:rPr>
          <w:rFonts w:hint="eastAsia" w:ascii="宋体" w:hAnsi="宋体"/>
          <w:szCs w:val="24"/>
        </w:rPr>
        <w:t>方自行承担全部责任。</w:t>
      </w:r>
    </w:p>
    <w:p>
      <w:pPr>
        <w:numPr>
          <w:ilvl w:val="0"/>
          <w:numId w:val="5"/>
        </w:numPr>
        <w:autoSpaceDE w:val="0"/>
        <w:autoSpaceDN w:val="0"/>
        <w:adjustRightInd w:val="0"/>
        <w:spacing w:line="360" w:lineRule="auto"/>
        <w:ind w:left="420" w:leftChars="200" w:firstLine="0"/>
        <w:jc w:val="left"/>
        <w:rPr>
          <w:rFonts w:ascii="宋体" w:hAnsi="宋体"/>
          <w:szCs w:val="24"/>
        </w:rPr>
      </w:pPr>
      <w:r>
        <w:rPr>
          <w:rFonts w:hint="eastAsia" w:ascii="宋体" w:hAnsi="宋体"/>
          <w:szCs w:val="24"/>
        </w:rPr>
        <w:t>乙方提供的</w:t>
      </w:r>
      <w:r>
        <w:rPr>
          <w:rFonts w:ascii="宋体" w:hAnsi="宋体"/>
          <w:szCs w:val="24"/>
        </w:rPr>
        <w:t>技术图纸、技术资料、技术文件、技术方法等</w:t>
      </w:r>
      <w:r>
        <w:rPr>
          <w:rFonts w:hint="eastAsia" w:ascii="宋体" w:hAnsi="宋体"/>
          <w:szCs w:val="24"/>
        </w:rPr>
        <w:t>属于乙方自身技术保密信息，未经乙方许可甲方</w:t>
      </w:r>
      <w:r>
        <w:rPr>
          <w:rFonts w:ascii="宋体" w:hAnsi="宋体"/>
          <w:szCs w:val="24"/>
        </w:rPr>
        <w:t>不得向第三方泄露</w:t>
      </w:r>
      <w:r>
        <w:rPr>
          <w:rFonts w:hint="eastAsia" w:ascii="宋体" w:hAnsi="宋体"/>
          <w:szCs w:val="24"/>
        </w:rPr>
        <w:t>，否则甲方承担赔偿责任</w:t>
      </w:r>
      <w:r>
        <w:rPr>
          <w:rFonts w:ascii="宋体" w:hAnsi="宋体"/>
          <w:szCs w:val="24"/>
        </w:rPr>
        <w:t>。</w:t>
      </w:r>
    </w:p>
    <w:p>
      <w:pPr>
        <w:pStyle w:val="37"/>
      </w:pPr>
      <w:r>
        <w:rPr>
          <w:rFonts w:hint="eastAsia"/>
        </w:rPr>
        <w:t>9</w:t>
      </w:r>
      <w:r>
        <w:t>.2</w:t>
      </w:r>
      <w:r>
        <w:rPr>
          <w:rFonts w:hint="eastAsia"/>
        </w:rPr>
        <w:t>乙方责任</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乙方负责设备设计</w:t>
      </w:r>
      <w:r>
        <w:rPr>
          <w:rFonts w:hint="eastAsia" w:ascii="宋体" w:hAnsi="宋体"/>
          <w:szCs w:val="24"/>
        </w:rPr>
        <w:t>、</w:t>
      </w:r>
      <w:r>
        <w:rPr>
          <w:rFonts w:ascii="宋体" w:hAnsi="宋体"/>
          <w:szCs w:val="24"/>
        </w:rPr>
        <w:t>设备制造、安装、调试。</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乙方负责甲方操作技术人员和维护技术人员的培训。</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乙方负责设备的包装、运输及保险。</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乙方根据售后服务条款的规定，负责提供优良的售后服务。</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乙方负责提供</w:t>
      </w:r>
      <w:r>
        <w:rPr>
          <w:rFonts w:hint="eastAsia" w:ascii="宋体" w:hAnsi="宋体"/>
          <w:szCs w:val="24"/>
        </w:rPr>
        <w:t>改造内容的</w:t>
      </w:r>
      <w:r>
        <w:rPr>
          <w:rFonts w:ascii="宋体" w:hAnsi="宋体"/>
          <w:szCs w:val="24"/>
        </w:rPr>
        <w:t>完整使用资料。</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在项目进展过程中，乙方有及时给予甲方技术沟通的义务。</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hint="eastAsia" w:ascii="宋体" w:hAnsi="宋体"/>
          <w:szCs w:val="24"/>
        </w:rPr>
        <w:t>甲方提供的</w:t>
      </w:r>
      <w:r>
        <w:rPr>
          <w:rFonts w:ascii="宋体" w:hAnsi="宋体"/>
          <w:szCs w:val="24"/>
        </w:rPr>
        <w:t>工件图纸、技术资料、技术文件、技术方法、工件实物等有保密的责任，</w:t>
      </w:r>
      <w:r>
        <w:rPr>
          <w:rFonts w:hint="eastAsia" w:ascii="宋体" w:hAnsi="宋体"/>
          <w:szCs w:val="24"/>
        </w:rPr>
        <w:t>未经甲方许可乙方</w:t>
      </w:r>
      <w:r>
        <w:rPr>
          <w:rFonts w:ascii="宋体" w:hAnsi="宋体"/>
          <w:szCs w:val="24"/>
        </w:rPr>
        <w:t>不得向第三方泄露</w:t>
      </w:r>
      <w:r>
        <w:rPr>
          <w:rFonts w:hint="eastAsia" w:ascii="宋体" w:hAnsi="宋体"/>
          <w:szCs w:val="24"/>
          <w:lang w:eastAsia="zh-CN"/>
        </w:rPr>
        <w:t>，</w:t>
      </w:r>
      <w:r>
        <w:rPr>
          <w:rFonts w:hint="eastAsia" w:ascii="宋体" w:hAnsi="宋体"/>
          <w:szCs w:val="24"/>
        </w:rPr>
        <w:t>否则</w:t>
      </w:r>
      <w:r>
        <w:rPr>
          <w:rFonts w:hint="eastAsia" w:ascii="宋体" w:hAnsi="宋体"/>
          <w:szCs w:val="24"/>
          <w:lang w:val="en-US" w:eastAsia="zh-CN"/>
        </w:rPr>
        <w:t>乙</w:t>
      </w:r>
      <w:r>
        <w:rPr>
          <w:rFonts w:hint="eastAsia" w:ascii="宋体" w:hAnsi="宋体"/>
          <w:szCs w:val="24"/>
        </w:rPr>
        <w:t>方承担赔偿责任</w:t>
      </w:r>
      <w:r>
        <w:rPr>
          <w:rFonts w:hint="eastAsia" w:ascii="宋体" w:hAnsi="宋体"/>
          <w:szCs w:val="24"/>
          <w:lang w:eastAsia="zh-CN"/>
        </w:rPr>
        <w:t>。</w:t>
      </w:r>
    </w:p>
    <w:p>
      <w:pPr>
        <w:numPr>
          <w:ilvl w:val="0"/>
          <w:numId w:val="6"/>
        </w:numPr>
        <w:autoSpaceDE w:val="0"/>
        <w:autoSpaceDN w:val="0"/>
        <w:adjustRightInd w:val="0"/>
        <w:spacing w:line="360" w:lineRule="auto"/>
        <w:ind w:left="420" w:leftChars="200" w:firstLine="0"/>
        <w:jc w:val="left"/>
        <w:rPr>
          <w:rFonts w:ascii="宋体" w:hAnsi="宋体"/>
          <w:szCs w:val="24"/>
        </w:rPr>
      </w:pPr>
      <w:r>
        <w:rPr>
          <w:rFonts w:ascii="宋体" w:hAnsi="宋体"/>
          <w:szCs w:val="24"/>
        </w:rPr>
        <w:t>在现场安装调试过程中，乙方遵守甲方的有关安全生产方面的制度，包括现场管理、安全等。</w:t>
      </w:r>
    </w:p>
    <w:p>
      <w:pPr>
        <w:pStyle w:val="36"/>
        <w:rPr>
          <w:rFonts w:ascii="宋体" w:hAnsi="宋体" w:cs="Arial"/>
          <w:bCs/>
          <w:szCs w:val="21"/>
        </w:rPr>
      </w:pPr>
      <w:bookmarkStart w:id="17" w:name="_Toc85544721"/>
      <w:r>
        <w:rPr>
          <w:rFonts w:hint="eastAsia" w:ascii="宋体" w:hAnsi="宋体" w:cs="Arial"/>
          <w:bCs/>
          <w:szCs w:val="21"/>
        </w:rPr>
        <w:t>十、交货期</w:t>
      </w:r>
      <w:bookmarkEnd w:id="17"/>
    </w:p>
    <w:p>
      <w:pPr>
        <w:spacing w:line="360" w:lineRule="auto"/>
        <w:ind w:firstLine="420" w:firstLineChars="200"/>
        <w:rPr>
          <w:rFonts w:ascii="宋体" w:hAnsi="宋体"/>
        </w:rPr>
      </w:pPr>
      <w:r>
        <w:rPr>
          <w:rFonts w:hint="eastAsia" w:ascii="宋体" w:hAnsi="宋体"/>
          <w:color w:val="auto"/>
        </w:rPr>
        <w:t>交货</w:t>
      </w:r>
      <w:r>
        <w:rPr>
          <w:rFonts w:ascii="宋体" w:hAnsi="宋体"/>
          <w:color w:val="auto"/>
        </w:rPr>
        <w:t>周期：合同生效</w:t>
      </w:r>
      <w:r>
        <w:rPr>
          <w:rFonts w:hint="eastAsia" w:ascii="宋体" w:hAnsi="宋体"/>
          <w:color w:val="auto"/>
        </w:rPr>
        <w:t>且</w:t>
      </w:r>
      <w:r>
        <w:rPr>
          <w:rFonts w:ascii="宋体" w:hAnsi="宋体"/>
          <w:color w:val="auto"/>
        </w:rPr>
        <w:t>预付款到账后</w:t>
      </w:r>
      <w:r>
        <w:rPr>
          <w:rFonts w:ascii="宋体" w:hAnsi="宋体"/>
          <w:color w:val="auto"/>
          <w:u w:val="single"/>
        </w:rPr>
        <w:t xml:space="preserve"> 90 个</w:t>
      </w:r>
      <w:r>
        <w:rPr>
          <w:rFonts w:hint="eastAsia" w:ascii="宋体" w:hAnsi="宋体"/>
          <w:color w:val="auto"/>
          <w:u w:val="single"/>
        </w:rPr>
        <w:t>自然日</w:t>
      </w:r>
      <w:r>
        <w:rPr>
          <w:rFonts w:hint="eastAsia" w:ascii="宋体" w:hAnsi="宋体"/>
          <w:color w:val="auto"/>
        </w:rPr>
        <w:t>内</w:t>
      </w:r>
      <w:r>
        <w:rPr>
          <w:rFonts w:ascii="宋体" w:hAnsi="宋体"/>
          <w:color w:val="auto"/>
        </w:rPr>
        <w:t>设备达到预验收状态，现场安装调试</w:t>
      </w:r>
      <w:r>
        <w:rPr>
          <w:rFonts w:ascii="宋体" w:hAnsi="宋体"/>
          <w:color w:val="auto"/>
          <w:u w:val="single"/>
        </w:rPr>
        <w:t xml:space="preserve">  10个</w:t>
      </w:r>
      <w:r>
        <w:rPr>
          <w:rFonts w:hint="eastAsia" w:ascii="宋体" w:hAnsi="宋体"/>
          <w:color w:val="auto"/>
          <w:u w:val="single"/>
        </w:rPr>
        <w:t>自然日/工作日</w:t>
      </w:r>
      <w:r>
        <w:rPr>
          <w:rFonts w:ascii="宋体" w:hAnsi="宋体"/>
          <w:color w:val="auto"/>
        </w:rPr>
        <w:t>内交付试生产使用</w:t>
      </w:r>
      <w:r>
        <w:rPr>
          <w:rFonts w:hint="eastAsia" w:ascii="宋体" w:hAnsi="宋体"/>
          <w:color w:val="auto"/>
        </w:rPr>
        <w:t>，有其它不确定因素需双方协商解决。如遇到国家政策及其他不可抗力导致交期延期等情况，乙方或双方均可以免除责任，但应在在不可抗力发生的</w:t>
      </w:r>
      <w:r>
        <w:rPr>
          <w:rFonts w:hint="eastAsia" w:ascii="宋体" w:hAnsi="宋体"/>
          <w:color w:val="auto"/>
          <w:u w:val="single"/>
        </w:rPr>
        <w:t>5个工作日</w:t>
      </w:r>
      <w:r>
        <w:rPr>
          <w:rFonts w:hint="eastAsia" w:ascii="宋体" w:hAnsi="宋体"/>
          <w:color w:val="auto"/>
        </w:rPr>
        <w:t>内</w:t>
      </w:r>
      <w:r>
        <w:rPr>
          <w:rFonts w:hint="eastAsia" w:ascii="宋体" w:hAnsi="宋体"/>
        </w:rPr>
        <w:t>应及时书面通知对方，并采取积极的措施尽可能挽回由此造成的损失，并防止造成进一步的损失。</w:t>
      </w:r>
    </w:p>
    <w:p>
      <w:pPr>
        <w:spacing w:line="360" w:lineRule="auto"/>
        <w:ind w:firstLine="420" w:firstLineChars="200"/>
        <w:rPr>
          <w:rFonts w:ascii="宋体" w:hAnsi="宋体"/>
        </w:rPr>
      </w:pPr>
      <w:r>
        <w:rPr>
          <w:rFonts w:ascii="宋体" w:hAnsi="宋体"/>
        </w:rPr>
        <w:t>合同签订后乙方向甲方提供项目管理计划进度表，以便双方控制协调工程进度</w:t>
      </w:r>
      <w:r>
        <w:rPr>
          <w:rFonts w:hint="eastAsia" w:ascii="宋体" w:hAnsi="宋体"/>
        </w:rPr>
        <w:t>。</w:t>
      </w:r>
    </w:p>
    <w:p>
      <w:pPr>
        <w:pStyle w:val="36"/>
        <w:rPr>
          <w:color w:val="auto"/>
        </w:rPr>
      </w:pPr>
      <w:bookmarkStart w:id="18" w:name="_Toc85544722"/>
      <w:bookmarkStart w:id="19" w:name="_Toc3563208"/>
      <w:r>
        <w:rPr>
          <w:rFonts w:hint="eastAsia"/>
        </w:rPr>
        <w:t>十一、陪产服务</w:t>
      </w:r>
      <w:bookmarkEnd w:id="18"/>
    </w:p>
    <w:p>
      <w:pPr>
        <w:spacing w:line="360" w:lineRule="auto"/>
        <w:ind w:firstLine="420" w:firstLineChars="200"/>
        <w:rPr>
          <w:rFonts w:ascii="宋体" w:hAnsi="宋体"/>
        </w:rPr>
      </w:pPr>
      <w:r>
        <w:rPr>
          <w:rFonts w:hint="eastAsia" w:ascii="宋体" w:hAnsi="宋体"/>
          <w:color w:val="auto"/>
        </w:rPr>
        <w:t>在预验收后终验合格前，乙方可提供为期</w:t>
      </w:r>
      <w:r>
        <w:rPr>
          <w:rFonts w:hint="eastAsia" w:ascii="宋体" w:hAnsi="宋体"/>
          <w:color w:val="auto"/>
          <w:u w:val="single"/>
        </w:rPr>
        <w:t>7</w:t>
      </w:r>
      <w:r>
        <w:rPr>
          <w:rFonts w:hint="eastAsia" w:ascii="宋体" w:hAnsi="宋体"/>
          <w:color w:val="auto"/>
        </w:rPr>
        <w:t>天的免费陪产服务。由</w:t>
      </w:r>
      <w:r>
        <w:rPr>
          <w:rFonts w:ascii="宋体" w:hAnsi="宋体"/>
          <w:color w:val="auto"/>
        </w:rPr>
        <w:t>乙方安排1名以上专业工程技术人员进行投产支持</w:t>
      </w:r>
      <w:r>
        <w:rPr>
          <w:rFonts w:hint="eastAsia" w:ascii="宋体" w:hAnsi="宋体"/>
          <w:color w:val="auto"/>
        </w:rPr>
        <w:t>至设备使用人员可熟悉使用设备，</w:t>
      </w:r>
      <w:r>
        <w:rPr>
          <w:rFonts w:ascii="宋体" w:hAnsi="宋体"/>
          <w:color w:val="auto"/>
        </w:rPr>
        <w:t>以</w:t>
      </w:r>
      <w:r>
        <w:rPr>
          <w:rFonts w:ascii="宋体" w:hAnsi="宋体"/>
        </w:rPr>
        <w:t>保证整线顺利运行</w:t>
      </w:r>
      <w:r>
        <w:rPr>
          <w:rFonts w:hint="eastAsia" w:ascii="宋体" w:hAnsi="宋体"/>
        </w:rPr>
        <w:t>。</w:t>
      </w:r>
      <w:r>
        <w:rPr>
          <w:rFonts w:ascii="宋体" w:hAnsi="宋体"/>
        </w:rPr>
        <w:t>如有制造质量问题，乙方需负责整改，直至达到使用工艺要求。</w:t>
      </w:r>
    </w:p>
    <w:p>
      <w:pPr>
        <w:spacing w:line="360" w:lineRule="auto"/>
        <w:ind w:firstLine="420" w:firstLineChars="200"/>
        <w:rPr>
          <w:rFonts w:ascii="宋体" w:hAnsi="宋体"/>
          <w:color w:val="auto"/>
        </w:rPr>
      </w:pPr>
      <w:r>
        <w:rPr>
          <w:rFonts w:ascii="宋体" w:hAnsi="宋体"/>
        </w:rPr>
        <w:t>陪伴生产人员在</w:t>
      </w:r>
      <w:r>
        <w:rPr>
          <w:rFonts w:hint="eastAsia" w:ascii="宋体" w:hAnsi="宋体"/>
        </w:rPr>
        <w:t>甲方</w:t>
      </w:r>
      <w:r>
        <w:rPr>
          <w:rFonts w:hint="eastAsia" w:ascii="宋体" w:hAnsi="宋体"/>
          <w:lang w:val="en-US" w:eastAsia="zh-CN"/>
        </w:rPr>
        <w:t>指定地点</w:t>
      </w:r>
      <w:r>
        <w:rPr>
          <w:rFonts w:ascii="宋体" w:hAnsi="宋体"/>
        </w:rPr>
        <w:t>按照每天工作8小时，每周</w:t>
      </w:r>
      <w:r>
        <w:rPr>
          <w:rFonts w:hint="eastAsia" w:ascii="宋体" w:hAnsi="宋体"/>
        </w:rPr>
        <w:t>五</w:t>
      </w:r>
      <w:r>
        <w:rPr>
          <w:rFonts w:ascii="宋体" w:hAnsi="宋体"/>
        </w:rPr>
        <w:t>天的时间进行安排，其它时间（晚上和周</w:t>
      </w:r>
      <w:r>
        <w:rPr>
          <w:rFonts w:hint="eastAsia" w:ascii="宋体" w:hAnsi="宋体"/>
        </w:rPr>
        <w:t>末</w:t>
      </w:r>
      <w:r>
        <w:rPr>
          <w:rFonts w:ascii="宋体" w:hAnsi="宋体"/>
        </w:rPr>
        <w:t>）陪伴生产人员的联系电话应处于开通状态，甲方可通过电话与陪伴生</w:t>
      </w:r>
      <w:r>
        <w:rPr>
          <w:rFonts w:ascii="宋体" w:hAnsi="宋体"/>
          <w:color w:val="auto"/>
        </w:rPr>
        <w:t>产人员取得联系。</w:t>
      </w:r>
    </w:p>
    <w:p>
      <w:pPr>
        <w:spacing w:line="360" w:lineRule="auto"/>
        <w:ind w:firstLine="420" w:firstLineChars="200"/>
        <w:rPr>
          <w:rFonts w:ascii="宋体" w:hAnsi="宋体"/>
          <w:color w:val="auto"/>
        </w:rPr>
      </w:pPr>
      <w:r>
        <w:rPr>
          <w:rFonts w:ascii="宋体" w:hAnsi="宋体"/>
          <w:color w:val="auto"/>
        </w:rPr>
        <w:t>陪产</w:t>
      </w:r>
      <w:r>
        <w:rPr>
          <w:rFonts w:hint="eastAsia" w:ascii="宋体" w:hAnsi="宋体"/>
          <w:color w:val="auto"/>
        </w:rPr>
        <w:t>期间，</w:t>
      </w:r>
      <w:r>
        <w:rPr>
          <w:rFonts w:ascii="宋体" w:hAnsi="宋体"/>
          <w:color w:val="auto"/>
        </w:rPr>
        <w:t>如果设备出现故障，陪产人员在接到甲方的援助请求后，</w:t>
      </w:r>
      <w:r>
        <w:rPr>
          <w:rFonts w:hint="eastAsia" w:ascii="宋体" w:hAnsi="宋体"/>
          <w:color w:val="auto"/>
        </w:rPr>
        <w:t>应在</w:t>
      </w:r>
      <w:r>
        <w:rPr>
          <w:rFonts w:ascii="宋体" w:hAnsi="宋体"/>
          <w:color w:val="auto"/>
          <w:u w:val="single"/>
        </w:rPr>
        <w:t>8</w:t>
      </w:r>
      <w:r>
        <w:rPr>
          <w:rFonts w:hint="eastAsia" w:ascii="宋体" w:hAnsi="宋体"/>
          <w:color w:val="auto"/>
        </w:rPr>
        <w:t>小时内赶到现场</w:t>
      </w:r>
      <w:r>
        <w:rPr>
          <w:rFonts w:ascii="宋体" w:hAnsi="宋体"/>
          <w:color w:val="auto"/>
        </w:rPr>
        <w:t>，和甲方设备维修人员共同处理设备的故障，直至问题解决。</w:t>
      </w:r>
    </w:p>
    <w:p>
      <w:pPr>
        <w:pStyle w:val="36"/>
      </w:pPr>
      <w:bookmarkStart w:id="20" w:name="_Toc85544723"/>
      <w:r>
        <w:rPr>
          <w:rFonts w:hint="eastAsia"/>
        </w:rPr>
        <w:t>十二、质保</w:t>
      </w:r>
      <w:bookmarkEnd w:id="19"/>
      <w:bookmarkEnd w:id="20"/>
      <w:bookmarkStart w:id="21" w:name="_Toc427575994"/>
      <w:bookmarkStart w:id="22" w:name="_Toc425289890"/>
      <w:bookmarkStart w:id="23" w:name="_Toc227837155"/>
      <w:bookmarkStart w:id="24" w:name="_Toc228263658"/>
    </w:p>
    <w:p>
      <w:pPr>
        <w:spacing w:line="360" w:lineRule="auto"/>
        <w:ind w:firstLine="420" w:firstLineChars="200"/>
        <w:rPr>
          <w:rFonts w:ascii="宋体" w:hAnsi="宋体"/>
        </w:rPr>
      </w:pPr>
      <w:r>
        <w:rPr>
          <w:rFonts w:ascii="宋体" w:hAnsi="宋体"/>
        </w:rPr>
        <w:t>质量保证期为自设备终验收</w:t>
      </w:r>
      <w:r>
        <w:rPr>
          <w:rFonts w:hint="eastAsia" w:ascii="宋体" w:hAnsi="宋体"/>
        </w:rPr>
        <w:t>证明</w:t>
      </w:r>
      <w:r>
        <w:rPr>
          <w:rFonts w:ascii="宋体" w:hAnsi="宋体"/>
        </w:rPr>
        <w:t>签署之日起</w:t>
      </w:r>
      <w:r>
        <w:rPr>
          <w:rFonts w:hint="eastAsia" w:ascii="宋体" w:hAnsi="宋体"/>
          <w:u w:val="single"/>
        </w:rPr>
        <w:t xml:space="preserve"> </w:t>
      </w:r>
      <w:r>
        <w:rPr>
          <w:rFonts w:ascii="宋体" w:hAnsi="宋体"/>
          <w:u w:val="single"/>
        </w:rPr>
        <w:t xml:space="preserve">   1</w:t>
      </w:r>
      <w:r>
        <w:rPr>
          <w:rFonts w:hint="eastAsia" w:ascii="宋体" w:hAnsi="宋体"/>
          <w:u w:val="single"/>
          <w:lang w:val="en-US" w:eastAsia="zh-CN"/>
        </w:rPr>
        <w:t>8</w:t>
      </w:r>
      <w:r>
        <w:rPr>
          <w:rFonts w:ascii="宋体" w:hAnsi="宋体"/>
          <w:u w:val="single"/>
        </w:rPr>
        <w:t xml:space="preserve">   </w:t>
      </w:r>
      <w:r>
        <w:rPr>
          <w:rFonts w:ascii="宋体" w:hAnsi="宋体"/>
        </w:rPr>
        <w:t>个月。</w:t>
      </w:r>
    </w:p>
    <w:p>
      <w:pPr>
        <w:spacing w:line="360" w:lineRule="auto"/>
        <w:ind w:firstLine="420" w:firstLineChars="200"/>
      </w:pPr>
      <w:r>
        <w:rPr>
          <w:rFonts w:hint="eastAsia" w:ascii="宋体" w:hAnsi="宋体"/>
        </w:rPr>
        <w:t>在质保期内，发生任何非</w:t>
      </w:r>
      <w:r>
        <w:rPr>
          <w:rFonts w:ascii="宋体" w:hAnsi="宋体"/>
        </w:rPr>
        <w:t>人为因素</w:t>
      </w:r>
      <w:r>
        <w:rPr>
          <w:rFonts w:hint="eastAsia" w:ascii="宋体" w:hAnsi="宋体"/>
        </w:rPr>
        <w:t>、不可抗拒因素造成的故障和损坏，均由乙方免费修复（易损零件、耗材除外），失效零件免费更换，若甲方认为需要乙方派人员来修机，则以电话或电子邮件方式通知乙方，乙方应在</w:t>
      </w:r>
      <w:r>
        <w:rPr>
          <w:rFonts w:hint="eastAsia" w:ascii="宋体" w:hAnsi="宋体"/>
          <w:lang w:val="en-US" w:eastAsia="zh-CN"/>
        </w:rPr>
        <w:t>收到邮件或电话的</w:t>
      </w:r>
      <w:r>
        <w:rPr>
          <w:rFonts w:ascii="宋体" w:hAnsi="宋体"/>
          <w:u w:val="single"/>
        </w:rPr>
        <w:t xml:space="preserve"> </w:t>
      </w:r>
      <w:r>
        <w:rPr>
          <w:rFonts w:hint="eastAsia" w:ascii="宋体" w:hAnsi="宋体"/>
          <w:u w:val="single"/>
          <w:lang w:val="en-US" w:eastAsia="zh-CN"/>
        </w:rPr>
        <w:t>72</w:t>
      </w:r>
      <w:r>
        <w:rPr>
          <w:rFonts w:hint="eastAsia" w:ascii="宋体" w:hAnsi="宋体"/>
        </w:rPr>
        <w:t>小时内派人员实施修理。</w:t>
      </w:r>
      <w:bookmarkEnd w:id="21"/>
      <w:bookmarkEnd w:id="22"/>
      <w:bookmarkEnd w:id="23"/>
      <w:bookmarkEnd w:id="24"/>
    </w:p>
    <w:p>
      <w:pPr>
        <w:pStyle w:val="36"/>
        <w:rPr>
          <w:sz w:val="21"/>
          <w:szCs w:val="20"/>
        </w:rPr>
      </w:pPr>
      <w:bookmarkStart w:id="25" w:name="_Toc85544724"/>
      <w:bookmarkStart w:id="26" w:name="_Toc427575997"/>
      <w:bookmarkStart w:id="27" w:name="_Toc427237364"/>
      <w:bookmarkStart w:id="28" w:name="_Toc4150121"/>
      <w:bookmarkStart w:id="29" w:name="_Toc425289893"/>
      <w:r>
        <w:rPr>
          <w:rFonts w:hint="eastAsia" w:ascii="宋体" w:hAnsi="宋体"/>
        </w:rPr>
        <w:t>十三、</w:t>
      </w:r>
      <w:r>
        <w:rPr>
          <w:rFonts w:hint="eastAsia"/>
        </w:rPr>
        <w:t>售后服务</w:t>
      </w:r>
      <w:bookmarkEnd w:id="25"/>
      <w:bookmarkEnd w:id="26"/>
      <w:bookmarkEnd w:id="27"/>
      <w:bookmarkEnd w:id="28"/>
      <w:bookmarkEnd w:id="29"/>
    </w:p>
    <w:p>
      <w:pPr>
        <w:spacing w:line="360" w:lineRule="auto"/>
        <w:ind w:firstLine="420" w:firstLineChars="200"/>
        <w:rPr>
          <w:rFonts w:ascii="宋体" w:hAnsi="宋体"/>
        </w:rPr>
      </w:pPr>
      <w:r>
        <w:rPr>
          <w:rFonts w:ascii="宋体" w:hAnsi="宋体"/>
        </w:rPr>
        <w:t>质量保证期为自设备</w:t>
      </w:r>
      <w:r>
        <w:rPr>
          <w:rFonts w:hint="eastAsia" w:ascii="宋体" w:hAnsi="宋体"/>
        </w:rPr>
        <w:t>终验收证明</w:t>
      </w:r>
      <w:r>
        <w:rPr>
          <w:rFonts w:ascii="宋体" w:hAnsi="宋体"/>
        </w:rPr>
        <w:t>签署之日起</w:t>
      </w:r>
      <w:r>
        <w:rPr>
          <w:rFonts w:hint="eastAsia" w:ascii="宋体" w:hAnsi="宋体"/>
          <w:u w:val="single"/>
        </w:rPr>
        <w:t>1</w:t>
      </w:r>
      <w:r>
        <w:rPr>
          <w:rFonts w:hint="eastAsia" w:ascii="宋体" w:hAnsi="宋体"/>
          <w:u w:val="single"/>
          <w:lang w:val="en-US" w:eastAsia="zh-CN"/>
        </w:rPr>
        <w:t>8</w:t>
      </w:r>
      <w:r>
        <w:rPr>
          <w:rFonts w:ascii="宋体" w:hAnsi="宋体"/>
        </w:rPr>
        <w:t>个月</w:t>
      </w:r>
      <w:r>
        <w:rPr>
          <w:rFonts w:hint="eastAsia" w:ascii="宋体" w:hAnsi="宋体"/>
        </w:rPr>
        <w:t>，乙方在本合同约定的维修和保养期内，设备发生任何非误操作造成的故障和损坏，免费负责该设备的维修保养工作，包括对运作系统的调试、检查、维修及更换所需零件的订制供给。</w:t>
      </w:r>
    </w:p>
    <w:p>
      <w:pPr>
        <w:spacing w:line="360" w:lineRule="auto"/>
        <w:ind w:firstLine="420" w:firstLineChars="200"/>
        <w:rPr>
          <w:rFonts w:ascii="宋体" w:hAnsi="宋体"/>
        </w:rPr>
      </w:pPr>
      <w:bookmarkStart w:id="30" w:name="_Toc427237365"/>
      <w:bookmarkStart w:id="31" w:name="_Toc427575998"/>
      <w:bookmarkStart w:id="32" w:name="_Toc425289894"/>
      <w:r>
        <w:rPr>
          <w:rFonts w:hint="eastAsia" w:ascii="宋体" w:hAnsi="宋体"/>
        </w:rPr>
        <w:t>质量保证期内</w:t>
      </w:r>
      <w:r>
        <w:rPr>
          <w:rFonts w:ascii="宋体" w:hAnsi="宋体"/>
        </w:rPr>
        <w:t>如果由于甲方人为因素</w:t>
      </w:r>
      <w:r>
        <w:rPr>
          <w:rFonts w:hint="eastAsia" w:ascii="宋体" w:hAnsi="宋体"/>
        </w:rPr>
        <w:t>、不可抗拒因素</w:t>
      </w:r>
      <w:r>
        <w:rPr>
          <w:rFonts w:ascii="宋体" w:hAnsi="宋体"/>
        </w:rPr>
        <w:t>导致设备无法正常生产，乙方将有偿负责维修，只酌情收取服务费和材料费。</w:t>
      </w:r>
    </w:p>
    <w:p>
      <w:pPr>
        <w:spacing w:line="360" w:lineRule="auto"/>
        <w:ind w:firstLine="420" w:firstLineChars="200"/>
        <w:rPr>
          <w:rFonts w:ascii="宋体" w:hAnsi="宋体"/>
        </w:rPr>
      </w:pPr>
      <w:r>
        <w:rPr>
          <w:rFonts w:ascii="宋体" w:hAnsi="宋体"/>
        </w:rPr>
        <w:t>质量保证期外：不论由于设备本身故障、甲方人为因素还是外部客观因素导致设备无法正常生产，乙方均将负责维修，</w:t>
      </w:r>
      <w:r>
        <w:rPr>
          <w:rFonts w:hint="eastAsia" w:ascii="宋体" w:hAnsi="宋体"/>
        </w:rPr>
        <w:t>收取相应</w:t>
      </w:r>
      <w:r>
        <w:rPr>
          <w:rFonts w:ascii="宋体" w:hAnsi="宋体"/>
        </w:rPr>
        <w:t>费用。</w:t>
      </w:r>
    </w:p>
    <w:p>
      <w:pPr>
        <w:spacing w:line="360" w:lineRule="auto"/>
        <w:ind w:firstLine="420" w:firstLineChars="200"/>
        <w:rPr>
          <w:rFonts w:ascii="宋体" w:hAnsi="宋体"/>
        </w:rPr>
      </w:pPr>
      <w:r>
        <w:rPr>
          <w:rFonts w:ascii="宋体" w:hAnsi="宋体"/>
        </w:rPr>
        <w:t>服务响应时间：乙方在收到甲方的</w:t>
      </w:r>
      <w:r>
        <w:rPr>
          <w:rFonts w:hint="eastAsia" w:ascii="宋体" w:hAnsi="宋体"/>
        </w:rPr>
        <w:t>正式</w:t>
      </w:r>
      <w:r>
        <w:rPr>
          <w:rFonts w:ascii="宋体" w:hAnsi="宋体"/>
        </w:rPr>
        <w:t>通知后</w:t>
      </w:r>
      <w:r>
        <w:rPr>
          <w:rFonts w:hint="eastAsia" w:ascii="宋体" w:hAnsi="宋体"/>
          <w:u w:val="single"/>
          <w:lang w:val="en-US" w:eastAsia="zh-CN"/>
        </w:rPr>
        <w:t>24</w:t>
      </w:r>
      <w:r>
        <w:rPr>
          <w:rFonts w:ascii="宋体" w:hAnsi="宋体"/>
        </w:rPr>
        <w:t>小时内做出响应。对于用户不能自行解决的故障，乙方将在</w:t>
      </w:r>
      <w:r>
        <w:rPr>
          <w:rFonts w:hint="eastAsia" w:ascii="宋体" w:hAnsi="宋体"/>
          <w:u w:val="single"/>
          <w:lang w:val="en-US" w:eastAsia="zh-CN"/>
        </w:rPr>
        <w:t>72</w:t>
      </w:r>
      <w:r>
        <w:rPr>
          <w:rFonts w:ascii="宋体" w:hAnsi="宋体"/>
        </w:rPr>
        <w:t>小时内，保证售后服务技术人员赶到甲方现场。</w:t>
      </w:r>
    </w:p>
    <w:p>
      <w:pPr>
        <w:pStyle w:val="36"/>
      </w:pPr>
      <w:bookmarkStart w:id="33" w:name="_Toc85544725"/>
      <w:r>
        <w:rPr>
          <w:rFonts w:hint="eastAsia"/>
        </w:rPr>
        <w:t>十四、知识产权</w:t>
      </w:r>
      <w:bookmarkEnd w:id="33"/>
    </w:p>
    <w:p>
      <w:pPr>
        <w:spacing w:after="187" w:line="360" w:lineRule="auto"/>
        <w:ind w:firstLine="420" w:firstLineChars="200"/>
        <w:rPr>
          <w:rFonts w:ascii="宋体" w:hAnsi="宋体"/>
          <w:szCs w:val="22"/>
        </w:rPr>
      </w:pPr>
      <w:r>
        <w:rPr>
          <w:rFonts w:hint="eastAsia" w:ascii="宋体" w:hAnsi="宋体"/>
          <w:szCs w:val="24"/>
          <w:lang w:val="en-US" w:eastAsia="zh-CN"/>
        </w:rPr>
        <w:t>乙</w:t>
      </w:r>
      <w:r>
        <w:rPr>
          <w:rFonts w:ascii="宋体" w:hAnsi="宋体"/>
          <w:szCs w:val="24"/>
        </w:rPr>
        <w:t>方拥有本合同</w:t>
      </w:r>
      <w:r>
        <w:rPr>
          <w:rFonts w:ascii="宋体" w:hAnsi="宋体"/>
          <w:szCs w:val="22"/>
        </w:rPr>
        <w:t>项下产品及与之相关的全部知识产权，不存在任何权利瑕疵，不会侵犯任何第三方的合法知识产权。同时，所交付本合同定制项目的成果也未侵犯第三方的知识产权。由</w:t>
      </w:r>
      <w:r>
        <w:rPr>
          <w:rFonts w:hint="eastAsia" w:ascii="宋体" w:hAnsi="宋体"/>
          <w:szCs w:val="22"/>
          <w:lang w:val="en-US" w:eastAsia="zh-CN"/>
        </w:rPr>
        <w:t>甲</w:t>
      </w:r>
      <w:r>
        <w:rPr>
          <w:rFonts w:ascii="宋体" w:hAnsi="宋体"/>
          <w:szCs w:val="22"/>
        </w:rPr>
        <w:t>方提供的包括但不限于项目运营信息系统、仓储物流的有关规范、流程、图表、说明等文字知识产权属</w:t>
      </w:r>
      <w:r>
        <w:rPr>
          <w:rFonts w:hint="eastAsia" w:ascii="宋体" w:hAnsi="宋体"/>
          <w:szCs w:val="22"/>
          <w:lang w:val="en-US" w:eastAsia="zh-CN"/>
        </w:rPr>
        <w:t>甲</w:t>
      </w:r>
      <w:r>
        <w:rPr>
          <w:rFonts w:ascii="宋体" w:hAnsi="宋体"/>
          <w:szCs w:val="22"/>
        </w:rPr>
        <w:t>方独自所有，</w:t>
      </w:r>
      <w:r>
        <w:rPr>
          <w:rFonts w:hint="eastAsia" w:ascii="宋体" w:hAnsi="宋体"/>
          <w:szCs w:val="22"/>
          <w:lang w:val="en-US" w:eastAsia="zh-CN"/>
        </w:rPr>
        <w:t>乙</w:t>
      </w:r>
      <w:r>
        <w:rPr>
          <w:rFonts w:ascii="宋体" w:hAnsi="宋体"/>
          <w:szCs w:val="22"/>
        </w:rPr>
        <w:t>方不得利用技术手段予以篡改或侵犯。</w:t>
      </w:r>
    </w:p>
    <w:p>
      <w:pPr>
        <w:spacing w:after="187" w:line="360" w:lineRule="auto"/>
        <w:ind w:firstLine="420" w:firstLineChars="200"/>
        <w:rPr>
          <w:rFonts w:ascii="宋体" w:hAnsi="宋体"/>
          <w:szCs w:val="22"/>
        </w:rPr>
      </w:pPr>
      <w:r>
        <w:rPr>
          <w:rFonts w:ascii="宋体" w:hAnsi="宋体"/>
          <w:szCs w:val="22"/>
        </w:rPr>
        <w:t>如</w:t>
      </w:r>
      <w:r>
        <w:rPr>
          <w:rFonts w:hint="eastAsia" w:ascii="宋体" w:hAnsi="宋体"/>
          <w:szCs w:val="22"/>
          <w:lang w:val="en-US" w:eastAsia="zh-CN"/>
        </w:rPr>
        <w:t>甲</w:t>
      </w:r>
      <w:r>
        <w:rPr>
          <w:rFonts w:ascii="宋体" w:hAnsi="宋体"/>
          <w:szCs w:val="22"/>
        </w:rPr>
        <w:t>方或用户因使用本合同产品或成果而招致第三方提起的知识产权侵权诉讼的，</w:t>
      </w:r>
      <w:r>
        <w:rPr>
          <w:rFonts w:hint="eastAsia" w:ascii="宋体" w:hAnsi="宋体"/>
          <w:szCs w:val="22"/>
          <w:lang w:val="en-US" w:eastAsia="zh-CN"/>
        </w:rPr>
        <w:t>甲</w:t>
      </w:r>
      <w:r>
        <w:rPr>
          <w:rFonts w:ascii="宋体" w:hAnsi="宋体"/>
          <w:szCs w:val="22"/>
        </w:rPr>
        <w:t>方应及时告知</w:t>
      </w:r>
      <w:r>
        <w:rPr>
          <w:rFonts w:hint="eastAsia" w:ascii="宋体" w:hAnsi="宋体"/>
          <w:szCs w:val="22"/>
          <w:lang w:val="en-US" w:eastAsia="zh-CN"/>
        </w:rPr>
        <w:t>乙</w:t>
      </w:r>
      <w:r>
        <w:rPr>
          <w:rFonts w:ascii="宋体" w:hAnsi="宋体"/>
          <w:szCs w:val="22"/>
        </w:rPr>
        <w:t>方，</w:t>
      </w:r>
      <w:r>
        <w:rPr>
          <w:rFonts w:hint="eastAsia" w:ascii="宋体" w:hAnsi="宋体"/>
          <w:szCs w:val="22"/>
          <w:lang w:val="en-US" w:eastAsia="zh-CN"/>
        </w:rPr>
        <w:t>乙</w:t>
      </w:r>
      <w:r>
        <w:rPr>
          <w:rFonts w:ascii="宋体" w:hAnsi="宋体"/>
          <w:szCs w:val="22"/>
        </w:rPr>
        <w:t>方承诺自行负责处理涉及的侵权纠纷并承担由于上述原因引起的索赔费用及法律责任，</w:t>
      </w:r>
      <w:r>
        <w:rPr>
          <w:rFonts w:hint="eastAsia" w:ascii="宋体" w:hAnsi="宋体"/>
          <w:szCs w:val="22"/>
          <w:lang w:val="en-US" w:eastAsia="zh-CN"/>
        </w:rPr>
        <w:t>甲</w:t>
      </w:r>
      <w:r>
        <w:rPr>
          <w:rFonts w:ascii="宋体" w:hAnsi="宋体"/>
          <w:szCs w:val="22"/>
        </w:rPr>
        <w:t>方应给予必要配合。因</w:t>
      </w:r>
      <w:r>
        <w:rPr>
          <w:rFonts w:hint="eastAsia" w:ascii="宋体" w:hAnsi="宋体"/>
          <w:szCs w:val="22"/>
          <w:lang w:val="en-US" w:eastAsia="zh-CN"/>
        </w:rPr>
        <w:t>甲</w:t>
      </w:r>
      <w:r>
        <w:rPr>
          <w:rFonts w:ascii="宋体" w:hAnsi="宋体"/>
          <w:szCs w:val="22"/>
        </w:rPr>
        <w:t>方提供信息侵害第三人合法权益的除外。</w:t>
      </w:r>
    </w:p>
    <w:p>
      <w:pPr>
        <w:spacing w:after="187" w:line="360" w:lineRule="auto"/>
        <w:ind w:firstLine="420" w:firstLineChars="200"/>
        <w:rPr>
          <w:rFonts w:ascii="宋体" w:hAnsi="宋体"/>
          <w:szCs w:val="22"/>
        </w:rPr>
      </w:pPr>
      <w:r>
        <w:rPr>
          <w:rFonts w:hint="eastAsia" w:ascii="宋体" w:hAnsi="宋体"/>
          <w:szCs w:val="22"/>
          <w:lang w:val="en-US" w:eastAsia="zh-CN"/>
        </w:rPr>
        <w:t>甲</w:t>
      </w:r>
      <w:r>
        <w:rPr>
          <w:rFonts w:ascii="宋体" w:hAnsi="宋体"/>
          <w:szCs w:val="22"/>
        </w:rPr>
        <w:t>方不得利用</w:t>
      </w:r>
      <w:r>
        <w:rPr>
          <w:rFonts w:hint="eastAsia" w:ascii="宋体" w:hAnsi="宋体"/>
          <w:szCs w:val="22"/>
          <w:lang w:val="en-US" w:eastAsia="zh-CN"/>
        </w:rPr>
        <w:t>乙</w:t>
      </w:r>
      <w:r>
        <w:rPr>
          <w:rFonts w:ascii="宋体" w:hAnsi="宋体"/>
          <w:szCs w:val="22"/>
        </w:rPr>
        <w:t>方提供的产品及与之相关的全部技术、信息、资料等内容向有关部门、机构申请商标、专利、著作权等知识产权或任何其他相关权利。</w:t>
      </w:r>
    </w:p>
    <w:p>
      <w:pPr>
        <w:spacing w:after="187" w:line="360" w:lineRule="auto"/>
        <w:ind w:firstLine="420" w:firstLineChars="200"/>
        <w:rPr>
          <w:rFonts w:ascii="宋体" w:hAnsi="宋体"/>
          <w:szCs w:val="22"/>
        </w:rPr>
      </w:pPr>
      <w:r>
        <w:rPr>
          <w:rFonts w:hint="eastAsia" w:ascii="宋体" w:hAnsi="宋体"/>
          <w:szCs w:val="22"/>
          <w:lang w:val="en-US" w:eastAsia="zh-CN"/>
        </w:rPr>
        <w:t>乙</w:t>
      </w:r>
      <w:r>
        <w:rPr>
          <w:rFonts w:ascii="宋体" w:hAnsi="宋体"/>
          <w:szCs w:val="22"/>
        </w:rPr>
        <w:t>方授权</w:t>
      </w:r>
      <w:r>
        <w:rPr>
          <w:rFonts w:hint="eastAsia" w:ascii="宋体" w:hAnsi="宋体"/>
          <w:szCs w:val="22"/>
          <w:lang w:val="en-US" w:eastAsia="zh-CN"/>
        </w:rPr>
        <w:t>甲</w:t>
      </w:r>
      <w:r>
        <w:rPr>
          <w:rFonts w:ascii="宋体" w:hAnsi="宋体"/>
          <w:szCs w:val="22"/>
        </w:rPr>
        <w:t>方通过合法使用定制设备的方式无偿使用定制设备上</w:t>
      </w:r>
      <w:r>
        <w:rPr>
          <w:rFonts w:hint="eastAsia" w:ascii="宋体" w:hAnsi="宋体"/>
          <w:szCs w:val="22"/>
          <w:lang w:val="en-US" w:eastAsia="zh-CN"/>
        </w:rPr>
        <w:t>乙</w:t>
      </w:r>
      <w:r>
        <w:rPr>
          <w:rFonts w:ascii="宋体" w:hAnsi="宋体"/>
          <w:szCs w:val="22"/>
        </w:rPr>
        <w:t>方享有的知识产权权利（包括但不限于专利权、著作权、商标权等）</w:t>
      </w:r>
      <w:r>
        <w:rPr>
          <w:rFonts w:hint="eastAsia" w:ascii="宋体" w:hAnsi="宋体"/>
          <w:szCs w:val="22"/>
        </w:rPr>
        <w:t>。</w:t>
      </w:r>
    </w:p>
    <w:p>
      <w:pPr>
        <w:pStyle w:val="36"/>
      </w:pPr>
      <w:bookmarkStart w:id="34" w:name="_Toc85544726"/>
      <w:r>
        <w:rPr>
          <w:rFonts w:hint="eastAsia"/>
        </w:rPr>
        <w:t>十、保密义务</w:t>
      </w:r>
      <w:bookmarkEnd w:id="34"/>
    </w:p>
    <w:p>
      <w:pPr>
        <w:spacing w:line="360" w:lineRule="auto"/>
        <w:ind w:firstLine="420" w:firstLineChars="200"/>
        <w:rPr>
          <w:rFonts w:ascii="宋体" w:hAnsi="宋体"/>
        </w:rPr>
      </w:pPr>
      <w:r>
        <w:rPr>
          <w:rFonts w:hint="eastAsia" w:ascii="宋体" w:hAnsi="宋体"/>
        </w:rPr>
        <w:t>双方应互相对合作项目承担保密责任，具体如下：</w:t>
      </w:r>
    </w:p>
    <w:p>
      <w:pPr>
        <w:pStyle w:val="29"/>
        <w:numPr>
          <w:ilvl w:val="0"/>
          <w:numId w:val="7"/>
        </w:numPr>
        <w:autoSpaceDE w:val="0"/>
        <w:autoSpaceDN w:val="0"/>
        <w:adjustRightInd w:val="0"/>
        <w:spacing w:line="360" w:lineRule="auto"/>
        <w:ind w:firstLineChars="0"/>
        <w:jc w:val="left"/>
        <w:rPr>
          <w:rFonts w:ascii="宋体" w:hAnsi="宋体"/>
          <w:szCs w:val="24"/>
        </w:rPr>
      </w:pPr>
      <w:r>
        <w:rPr>
          <w:rFonts w:hint="eastAsia" w:ascii="宋体" w:hAnsi="宋体"/>
          <w:szCs w:val="24"/>
        </w:rPr>
        <w:t xml:space="preserve"> 保密内容（包括但不限于技术信息、经营信息、因履行商务合同及本协议所涉及到的公司经营情况、人员组成等商业秘密。）：</w:t>
      </w:r>
    </w:p>
    <w:p>
      <w:pPr>
        <w:numPr>
          <w:ilvl w:val="0"/>
          <w:numId w:val="0"/>
        </w:numPr>
        <w:autoSpaceDE w:val="0"/>
        <w:autoSpaceDN w:val="0"/>
        <w:adjustRightInd w:val="0"/>
        <w:spacing w:line="360" w:lineRule="auto"/>
        <w:ind w:left="840" w:firstLine="0"/>
        <w:jc w:val="left"/>
        <w:rPr>
          <w:rFonts w:ascii="宋体" w:hAnsi="宋体"/>
          <w:szCs w:val="24"/>
        </w:rPr>
      </w:pPr>
      <w:r>
        <w:rPr>
          <w:rFonts w:hint="eastAsia" w:ascii="宋体" w:hAnsi="宋体"/>
          <w:szCs w:val="24"/>
        </w:rPr>
        <w:t>涉密人员范围：技术方案设计知情人员、项目参与人员。</w:t>
      </w:r>
    </w:p>
    <w:p>
      <w:pPr>
        <w:numPr>
          <w:ilvl w:val="0"/>
          <w:numId w:val="7"/>
        </w:numPr>
        <w:autoSpaceDE w:val="0"/>
        <w:autoSpaceDN w:val="0"/>
        <w:adjustRightInd w:val="0"/>
        <w:spacing w:line="360" w:lineRule="auto"/>
        <w:jc w:val="left"/>
        <w:rPr>
          <w:rFonts w:ascii="宋体" w:hAnsi="宋体"/>
          <w:szCs w:val="24"/>
        </w:rPr>
      </w:pPr>
      <w:r>
        <w:rPr>
          <w:rFonts w:hint="eastAsia" w:ascii="宋体" w:hAnsi="宋体"/>
          <w:szCs w:val="24"/>
        </w:rPr>
        <w:t xml:space="preserve"> 保密期限：自项目实施之日起五年。</w:t>
      </w:r>
    </w:p>
    <w:p>
      <w:pPr>
        <w:spacing w:line="360" w:lineRule="auto"/>
        <w:ind w:firstLine="420" w:firstLineChars="200"/>
        <w:rPr>
          <w:rFonts w:ascii="宋体" w:hAnsi="宋体"/>
        </w:rPr>
      </w:pPr>
      <w:r>
        <w:rPr>
          <w:rFonts w:hint="eastAsia" w:ascii="宋体" w:hAnsi="宋体"/>
        </w:rPr>
        <w:t xml:space="preserve"> 泄密责任：任何一方违反本保密义务给对方造成损失的，违约方应按照守约方实际损失（包括但不限于经济损失、采取补救措施所耗费的成本、诉讼费、律师费、保全费、保全保险费等）向守约方支付违约金。如果守约方确认，对违反本协议的行为仅采取赔偿的补救措施是不够的，则守约方还有权采取禁令、实际履行或其他合理的救济措施。</w:t>
      </w:r>
    </w:p>
    <w:p>
      <w:pPr>
        <w:pStyle w:val="36"/>
      </w:pPr>
      <w:bookmarkStart w:id="35" w:name="_Toc85544727"/>
      <w:bookmarkStart w:id="36" w:name="_Toc3563211"/>
      <w:r>
        <w:rPr>
          <w:rFonts w:hint="eastAsia"/>
        </w:rPr>
        <w:t>十六、其他</w:t>
      </w:r>
      <w:bookmarkEnd w:id="35"/>
      <w:bookmarkEnd w:id="36"/>
    </w:p>
    <w:p>
      <w:pPr>
        <w:spacing w:after="187" w:line="360" w:lineRule="auto"/>
        <w:ind w:firstLine="420" w:firstLineChars="200"/>
        <w:rPr>
          <w:rFonts w:ascii="宋体" w:hAnsi="宋体"/>
          <w:szCs w:val="22"/>
        </w:rPr>
      </w:pPr>
      <w:r>
        <w:rPr>
          <w:rFonts w:hint="eastAsia" w:ascii="宋体" w:hAnsi="宋体"/>
          <w:szCs w:val="22"/>
        </w:rPr>
        <w:t>本协议签订前，双方相关技术的往来函电也将作为本协议补充内容。本协议与销售合同同时生效，具有同等法律效力。</w:t>
      </w:r>
    </w:p>
    <w:p>
      <w:pPr>
        <w:spacing w:after="187" w:line="360" w:lineRule="auto"/>
        <w:ind w:firstLine="420" w:firstLineChars="200"/>
        <w:rPr>
          <w:rFonts w:ascii="宋体" w:hAnsi="宋体"/>
          <w:szCs w:val="22"/>
        </w:rPr>
      </w:pPr>
      <w:r>
        <w:rPr>
          <w:rFonts w:hint="eastAsia" w:ascii="宋体" w:hAnsi="宋体"/>
          <w:szCs w:val="22"/>
        </w:rPr>
        <w:t>本协议一式二份，甲乙双方各执一份，二份具有同等法律效力；自双方盖章之日起生效。</w:t>
      </w:r>
    </w:p>
    <w:p>
      <w:pPr>
        <w:spacing w:after="187" w:line="360" w:lineRule="auto"/>
        <w:ind w:firstLine="420" w:firstLineChars="200"/>
        <w:rPr>
          <w:rFonts w:ascii="宋体" w:hAnsi="宋体"/>
          <w:szCs w:val="22"/>
        </w:rPr>
      </w:pPr>
      <w:r>
        <w:rPr>
          <w:rFonts w:hint="eastAsia" w:ascii="宋体" w:hAnsi="宋体"/>
          <w:szCs w:val="22"/>
        </w:rPr>
        <w:t>本协议中未涉及的内容，未尽事宜双方协商解决。</w:t>
      </w:r>
    </w:p>
    <w:bookmarkEnd w:id="30"/>
    <w:bookmarkEnd w:id="31"/>
    <w:bookmarkEnd w:id="32"/>
    <w:p>
      <w:pPr>
        <w:autoSpaceDE w:val="0"/>
        <w:autoSpaceDN w:val="0"/>
        <w:adjustRightInd w:val="0"/>
        <w:spacing w:line="360" w:lineRule="auto"/>
        <w:ind w:left="420"/>
        <w:jc w:val="left"/>
        <w:rPr>
          <w:rFonts w:ascii="宋体" w:hAnsi="宋体"/>
          <w:szCs w:val="24"/>
        </w:rPr>
      </w:pPr>
    </w:p>
    <w:p>
      <w:pPr>
        <w:autoSpaceDE w:val="0"/>
        <w:autoSpaceDN w:val="0"/>
        <w:adjustRightInd w:val="0"/>
        <w:spacing w:line="360" w:lineRule="auto"/>
        <w:ind w:left="420"/>
        <w:jc w:val="left"/>
        <w:rPr>
          <w:rFonts w:ascii="宋体" w:hAnsi="宋体"/>
          <w:szCs w:val="24"/>
        </w:rPr>
      </w:pPr>
    </w:p>
    <w:p>
      <w:pPr>
        <w:autoSpaceDE w:val="0"/>
        <w:autoSpaceDN w:val="0"/>
        <w:adjustRightInd w:val="0"/>
        <w:spacing w:line="360" w:lineRule="auto"/>
        <w:ind w:left="420"/>
        <w:jc w:val="left"/>
        <w:rPr>
          <w:rFonts w:ascii="宋体" w:hAnsi="宋体"/>
          <w:szCs w:val="24"/>
        </w:rPr>
      </w:pPr>
    </w:p>
    <w:p>
      <w:pPr>
        <w:autoSpaceDE w:val="0"/>
        <w:autoSpaceDN w:val="0"/>
        <w:adjustRightInd w:val="0"/>
        <w:spacing w:line="360" w:lineRule="auto"/>
        <w:ind w:left="420"/>
        <w:jc w:val="left"/>
        <w:rPr>
          <w:rFonts w:ascii="宋体" w:hAnsi="宋体"/>
          <w:szCs w:val="24"/>
        </w:rPr>
      </w:pPr>
    </w:p>
    <w:p>
      <w:pPr>
        <w:autoSpaceDE w:val="0"/>
        <w:autoSpaceDN w:val="0"/>
        <w:adjustRightInd w:val="0"/>
        <w:spacing w:line="360" w:lineRule="auto"/>
        <w:ind w:left="420"/>
        <w:jc w:val="left"/>
        <w:rPr>
          <w:rFonts w:ascii="宋体" w:hAnsi="宋体"/>
          <w:szCs w:val="24"/>
        </w:rPr>
      </w:pPr>
    </w:p>
    <w:tbl>
      <w:tblPr>
        <w:tblStyle w:val="21"/>
        <w:tblW w:w="9596" w:type="dxa"/>
        <w:jc w:val="center"/>
        <w:tblLayout w:type="fixed"/>
        <w:tblCellMar>
          <w:top w:w="0" w:type="dxa"/>
          <w:left w:w="108" w:type="dxa"/>
          <w:bottom w:w="0" w:type="dxa"/>
          <w:right w:w="108" w:type="dxa"/>
        </w:tblCellMar>
      </w:tblPr>
      <w:tblGrid>
        <w:gridCol w:w="4717"/>
        <w:gridCol w:w="4879"/>
      </w:tblGrid>
      <w:tr>
        <w:tblPrEx>
          <w:tblCellMar>
            <w:top w:w="0" w:type="dxa"/>
            <w:left w:w="108" w:type="dxa"/>
            <w:bottom w:w="0" w:type="dxa"/>
            <w:right w:w="108" w:type="dxa"/>
          </w:tblCellMar>
        </w:tblPrEx>
        <w:trPr>
          <w:trHeight w:val="652" w:hRule="atLeast"/>
          <w:jc w:val="center"/>
        </w:trPr>
        <w:tc>
          <w:tcPr>
            <w:tcW w:w="4717"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甲方</w:t>
            </w:r>
            <w:r>
              <w:rPr>
                <w:rFonts w:eastAsia="仿宋_GB2312"/>
                <w:b/>
                <w:lang w:eastAsia="zh-CN"/>
              </w:rPr>
              <w:t>：</w:t>
            </w:r>
            <w:r>
              <w:rPr>
                <w:rFonts w:hint="eastAsia" w:eastAsia="仿宋_GB2312"/>
                <w:b/>
                <w:lang w:val="en-US" w:eastAsia="zh-CN"/>
              </w:rPr>
              <w:t>深圳</w:t>
            </w:r>
            <w:r>
              <w:rPr>
                <w:rFonts w:hint="eastAsia" w:eastAsia="仿宋_GB2312"/>
                <w:b/>
                <w:lang w:eastAsia="zh-CN"/>
              </w:rPr>
              <w:t>先进技术研究院</w:t>
            </w:r>
            <w:r>
              <w:rPr>
                <w:rFonts w:eastAsia="仿宋_GB2312"/>
                <w:b/>
                <w:lang w:eastAsia="zh-CN"/>
              </w:rPr>
              <w:t xml:space="preserve"> </w:t>
            </w:r>
          </w:p>
        </w:tc>
        <w:tc>
          <w:tcPr>
            <w:tcW w:w="4879"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乙方</w:t>
            </w:r>
            <w:r>
              <w:rPr>
                <w:rFonts w:eastAsia="仿宋_GB2312"/>
                <w:b/>
                <w:lang w:eastAsia="zh-CN"/>
              </w:rPr>
              <w:t>：</w:t>
            </w:r>
            <w:r>
              <w:rPr>
                <w:rFonts w:hint="eastAsia" w:eastAsia="仿宋_GB2312"/>
                <w:b/>
                <w:lang w:eastAsia="zh-CN"/>
              </w:rPr>
              <w:t>深圳镁伽科技有限公司</w:t>
            </w:r>
          </w:p>
        </w:tc>
      </w:tr>
      <w:tr>
        <w:tblPrEx>
          <w:tblCellMar>
            <w:top w:w="0" w:type="dxa"/>
            <w:left w:w="108" w:type="dxa"/>
            <w:bottom w:w="0" w:type="dxa"/>
            <w:right w:w="108" w:type="dxa"/>
          </w:tblCellMar>
        </w:tblPrEx>
        <w:trPr>
          <w:trHeight w:val="652" w:hRule="atLeast"/>
          <w:jc w:val="center"/>
        </w:trPr>
        <w:tc>
          <w:tcPr>
            <w:tcW w:w="4717"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电话</w:t>
            </w:r>
            <w:r>
              <w:rPr>
                <w:rFonts w:eastAsia="仿宋_GB2312"/>
                <w:b/>
                <w:lang w:eastAsia="zh-CN"/>
              </w:rPr>
              <w:t>：</w:t>
            </w:r>
            <w:r>
              <w:rPr>
                <w:rFonts w:hint="eastAsia" w:ascii="宋体" w:hAnsi="宋体"/>
                <w:szCs w:val="21"/>
                <w:lang w:eastAsia="zh-CN"/>
              </w:rPr>
              <w:t>18570621058</w:t>
            </w:r>
          </w:p>
        </w:tc>
        <w:tc>
          <w:tcPr>
            <w:tcW w:w="4879"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电话</w:t>
            </w:r>
            <w:r>
              <w:rPr>
                <w:rFonts w:eastAsia="仿宋_GB2312"/>
                <w:b/>
                <w:lang w:eastAsia="zh-CN"/>
              </w:rPr>
              <w:t>：</w:t>
            </w:r>
            <w:r>
              <w:rPr>
                <w:rFonts w:hint="eastAsia" w:eastAsia="仿宋_GB2312"/>
                <w:b/>
                <w:lang w:eastAsia="zh-CN"/>
              </w:rPr>
              <w:t>16679076909</w:t>
            </w:r>
          </w:p>
        </w:tc>
      </w:tr>
      <w:tr>
        <w:tblPrEx>
          <w:tblCellMar>
            <w:top w:w="0" w:type="dxa"/>
            <w:left w:w="108" w:type="dxa"/>
            <w:bottom w:w="0" w:type="dxa"/>
            <w:right w:w="108" w:type="dxa"/>
          </w:tblCellMar>
        </w:tblPrEx>
        <w:trPr>
          <w:trHeight w:val="652" w:hRule="atLeast"/>
          <w:jc w:val="center"/>
        </w:trPr>
        <w:tc>
          <w:tcPr>
            <w:tcW w:w="4717"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签字</w:t>
            </w:r>
            <w:r>
              <w:rPr>
                <w:rFonts w:eastAsia="仿宋_GB2312"/>
                <w:b/>
                <w:lang w:eastAsia="zh-CN"/>
              </w:rPr>
              <w:t>代表</w:t>
            </w:r>
            <w:r>
              <w:rPr>
                <w:rFonts w:hint="eastAsia" w:eastAsia="仿宋_GB2312"/>
                <w:b/>
                <w:lang w:eastAsia="zh-CN"/>
              </w:rPr>
              <w:t>：</w:t>
            </w:r>
          </w:p>
        </w:tc>
        <w:tc>
          <w:tcPr>
            <w:tcW w:w="4879"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签字</w:t>
            </w:r>
            <w:r>
              <w:rPr>
                <w:rFonts w:eastAsia="仿宋_GB2312"/>
                <w:b/>
                <w:lang w:eastAsia="zh-CN"/>
              </w:rPr>
              <w:t>代表：</w:t>
            </w:r>
          </w:p>
        </w:tc>
      </w:tr>
      <w:tr>
        <w:tblPrEx>
          <w:tblCellMar>
            <w:top w:w="0" w:type="dxa"/>
            <w:left w:w="108" w:type="dxa"/>
            <w:bottom w:w="0" w:type="dxa"/>
            <w:right w:w="108" w:type="dxa"/>
          </w:tblCellMar>
        </w:tblPrEx>
        <w:trPr>
          <w:trHeight w:val="668" w:hRule="atLeast"/>
          <w:jc w:val="center"/>
        </w:trPr>
        <w:tc>
          <w:tcPr>
            <w:tcW w:w="4717"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日期</w:t>
            </w:r>
            <w:r>
              <w:rPr>
                <w:rFonts w:eastAsia="仿宋_GB2312"/>
                <w:b/>
                <w:lang w:eastAsia="zh-CN"/>
              </w:rPr>
              <w:t>：</w:t>
            </w:r>
          </w:p>
        </w:tc>
        <w:tc>
          <w:tcPr>
            <w:tcW w:w="4879" w:type="dxa"/>
            <w:shd w:val="clear" w:color="auto" w:fill="auto"/>
          </w:tcPr>
          <w:p>
            <w:pPr>
              <w:pStyle w:val="18"/>
              <w:spacing w:line="500" w:lineRule="exact"/>
              <w:ind w:left="0" w:leftChars="0" w:firstLine="0" w:firstLineChars="0"/>
              <w:rPr>
                <w:rFonts w:eastAsia="仿宋_GB2312"/>
                <w:b/>
                <w:lang w:eastAsia="zh-CN"/>
              </w:rPr>
            </w:pPr>
            <w:r>
              <w:rPr>
                <w:rFonts w:hint="eastAsia" w:eastAsia="仿宋_GB2312"/>
                <w:b/>
                <w:lang w:eastAsia="zh-CN"/>
              </w:rPr>
              <w:t>日期</w:t>
            </w:r>
            <w:r>
              <w:rPr>
                <w:rFonts w:eastAsia="仿宋_GB2312"/>
                <w:b/>
                <w:lang w:eastAsia="zh-CN"/>
              </w:rPr>
              <w:t>：</w:t>
            </w:r>
          </w:p>
        </w:tc>
      </w:tr>
    </w:tbl>
    <w:p/>
    <w:sectPr>
      <w:footerReference r:id="rId7" w:type="first"/>
      <w:headerReference r:id="rId3" w:type="default"/>
      <w:footerReference r:id="rId5" w:type="default"/>
      <w:headerReference r:id="rId4" w:type="even"/>
      <w:footerReference r:id="rId6" w:type="even"/>
      <w:pgSz w:w="11906" w:h="16838"/>
      <w:pgMar w:top="1440" w:right="1080" w:bottom="1440" w:left="1080" w:header="851" w:footer="992" w:gutter="0"/>
      <w:pgNumType w:start="1"/>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w:t>
    </w:r>
    <w:r>
      <w:fldChar w:fldCharType="end"/>
    </w:r>
    <w:r>
      <w:rPr>
        <w:rFonts w:hint="eastAsia"/>
      </w:rPr>
      <w:t xml:space="preserve"> 页</w:t>
    </w:r>
  </w:p>
  <w:p>
    <w:pPr>
      <w:pStyle w:val="9"/>
      <w:ind w:right="-735" w:rightChars="-350" w:firstLine="3465" w:firstLineChars="165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w:t>
    </w:r>
    <w:r>
      <w:fldChar w:fldCharType="end"/>
    </w:r>
    <w:r>
      <w:rPr>
        <w:rFonts w:hint="eastAsia"/>
      </w:rPr>
      <w:t xml:space="preserve"> 页</w:t>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065"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rPr>
        <w:rFonts w:hint="eastAsia" w:ascii="宋体" w:hAnsi="宋体"/>
        <w:b/>
        <w:bCs/>
        <w:color w:val="1F497D"/>
        <w:sz w:val="32"/>
        <w:szCs w:val="32"/>
      </w:rPr>
      <w:drawing>
        <wp:inline distT="0" distB="0" distL="0" distR="0">
          <wp:extent cx="670560" cy="472440"/>
          <wp:effectExtent l="0" t="0" r="0" b="3810"/>
          <wp:docPr id="7" name="图片 7" descr="苏州镁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苏州镁伽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0560" cy="4724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EA1B26"/>
    <w:multiLevelType w:val="multilevel"/>
    <w:tmpl w:val="14EA1B26"/>
    <w:lvl w:ilvl="0" w:tentative="0">
      <w:start w:val="1"/>
      <w:numFmt w:val="decimal"/>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D92718"/>
    <w:multiLevelType w:val="multilevel"/>
    <w:tmpl w:val="22D9271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234E0F87"/>
    <w:multiLevelType w:val="multilevel"/>
    <w:tmpl w:val="234E0F87"/>
    <w:lvl w:ilvl="0" w:tentative="0">
      <w:start w:val="1"/>
      <w:numFmt w:val="decimal"/>
      <w:lvlText w:val="%1)"/>
      <w:lvlJc w:val="left"/>
      <w:pPr>
        <w:ind w:left="846" w:hanging="420"/>
      </w:pPr>
      <w:rPr>
        <w:rFonts w:hint="eastAsia" w:ascii="宋体" w:hAnsi="宋体" w:eastAsia="宋体"/>
      </w:rPr>
    </w:lvl>
    <w:lvl w:ilvl="1" w:tentative="0">
      <w:start w:val="1"/>
      <w:numFmt w:val="lowerLetter"/>
      <w:lvlText w:val="%2)"/>
      <w:lvlJc w:val="left"/>
      <w:pPr>
        <w:ind w:left="1266" w:hanging="420"/>
      </w:pPr>
      <w:rPr>
        <w:rFonts w:hint="eastAsia"/>
      </w:rPr>
    </w:lvl>
    <w:lvl w:ilvl="2" w:tentative="0">
      <w:start w:val="1"/>
      <w:numFmt w:val="lowerRoman"/>
      <w:lvlText w:val="%3."/>
      <w:lvlJc w:val="right"/>
      <w:pPr>
        <w:ind w:left="1686" w:hanging="420"/>
      </w:pPr>
      <w:rPr>
        <w:rFonts w:hint="eastAsia"/>
      </w:rPr>
    </w:lvl>
    <w:lvl w:ilvl="3" w:tentative="0">
      <w:start w:val="1"/>
      <w:numFmt w:val="decimal"/>
      <w:lvlText w:val="%4."/>
      <w:lvlJc w:val="left"/>
      <w:pPr>
        <w:ind w:left="2106" w:hanging="420"/>
      </w:pPr>
      <w:rPr>
        <w:rFonts w:hint="eastAsia"/>
      </w:rPr>
    </w:lvl>
    <w:lvl w:ilvl="4" w:tentative="0">
      <w:start w:val="1"/>
      <w:numFmt w:val="lowerLetter"/>
      <w:lvlText w:val="%5)"/>
      <w:lvlJc w:val="left"/>
      <w:pPr>
        <w:ind w:left="2526" w:hanging="420"/>
      </w:pPr>
      <w:rPr>
        <w:rFonts w:hint="eastAsia"/>
      </w:rPr>
    </w:lvl>
    <w:lvl w:ilvl="5" w:tentative="0">
      <w:start w:val="1"/>
      <w:numFmt w:val="lowerRoman"/>
      <w:lvlText w:val="%6."/>
      <w:lvlJc w:val="right"/>
      <w:pPr>
        <w:ind w:left="2946" w:hanging="420"/>
      </w:pPr>
      <w:rPr>
        <w:rFonts w:hint="eastAsia"/>
      </w:rPr>
    </w:lvl>
    <w:lvl w:ilvl="6" w:tentative="0">
      <w:start w:val="1"/>
      <w:numFmt w:val="decimal"/>
      <w:lvlText w:val="%7."/>
      <w:lvlJc w:val="left"/>
      <w:pPr>
        <w:ind w:left="3366" w:hanging="420"/>
      </w:pPr>
      <w:rPr>
        <w:rFonts w:hint="eastAsia"/>
      </w:rPr>
    </w:lvl>
    <w:lvl w:ilvl="7" w:tentative="0">
      <w:start w:val="1"/>
      <w:numFmt w:val="lowerLetter"/>
      <w:lvlText w:val="%8)"/>
      <w:lvlJc w:val="left"/>
      <w:pPr>
        <w:ind w:left="3786" w:hanging="420"/>
      </w:pPr>
      <w:rPr>
        <w:rFonts w:hint="eastAsia"/>
      </w:rPr>
    </w:lvl>
    <w:lvl w:ilvl="8" w:tentative="0">
      <w:start w:val="1"/>
      <w:numFmt w:val="lowerRoman"/>
      <w:lvlText w:val="%9."/>
      <w:lvlJc w:val="right"/>
      <w:pPr>
        <w:ind w:left="4206" w:hanging="420"/>
      </w:pPr>
      <w:rPr>
        <w:rFonts w:hint="eastAsia"/>
      </w:rPr>
    </w:lvl>
  </w:abstractNum>
  <w:abstractNum w:abstractNumId="3">
    <w:nsid w:val="254F0905"/>
    <w:multiLevelType w:val="multilevel"/>
    <w:tmpl w:val="254F0905"/>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2A9E1BFE"/>
    <w:multiLevelType w:val="multilevel"/>
    <w:tmpl w:val="2A9E1BF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5D954C2"/>
    <w:multiLevelType w:val="multilevel"/>
    <w:tmpl w:val="45D954C2"/>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
    <w:nsid w:val="7A002213"/>
    <w:multiLevelType w:val="multilevel"/>
    <w:tmpl w:val="7A0022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4"/>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277"/>
    <w:rsid w:val="00000CBB"/>
    <w:rsid w:val="00001147"/>
    <w:rsid w:val="00001F23"/>
    <w:rsid w:val="000072C3"/>
    <w:rsid w:val="00011BBC"/>
    <w:rsid w:val="000132F7"/>
    <w:rsid w:val="00014254"/>
    <w:rsid w:val="000160DE"/>
    <w:rsid w:val="000165FC"/>
    <w:rsid w:val="00017334"/>
    <w:rsid w:val="00023DFB"/>
    <w:rsid w:val="00031624"/>
    <w:rsid w:val="00040D21"/>
    <w:rsid w:val="00042F18"/>
    <w:rsid w:val="00051DD9"/>
    <w:rsid w:val="00055D1F"/>
    <w:rsid w:val="000564B3"/>
    <w:rsid w:val="0005681D"/>
    <w:rsid w:val="00056CD2"/>
    <w:rsid w:val="00057945"/>
    <w:rsid w:val="00075342"/>
    <w:rsid w:val="00082361"/>
    <w:rsid w:val="000830B0"/>
    <w:rsid w:val="00091316"/>
    <w:rsid w:val="00093E0A"/>
    <w:rsid w:val="00095D01"/>
    <w:rsid w:val="000A0130"/>
    <w:rsid w:val="000A077C"/>
    <w:rsid w:val="000A1467"/>
    <w:rsid w:val="000A20B9"/>
    <w:rsid w:val="000B2DE2"/>
    <w:rsid w:val="000C13C9"/>
    <w:rsid w:val="000C4FBE"/>
    <w:rsid w:val="000E1958"/>
    <w:rsid w:val="000F5BED"/>
    <w:rsid w:val="000F7289"/>
    <w:rsid w:val="00111F06"/>
    <w:rsid w:val="001150CB"/>
    <w:rsid w:val="001175F4"/>
    <w:rsid w:val="00120B40"/>
    <w:rsid w:val="001225F1"/>
    <w:rsid w:val="001226C5"/>
    <w:rsid w:val="001272D9"/>
    <w:rsid w:val="0013016B"/>
    <w:rsid w:val="001305C2"/>
    <w:rsid w:val="00130E7C"/>
    <w:rsid w:val="00132ABA"/>
    <w:rsid w:val="00135D69"/>
    <w:rsid w:val="00137AEF"/>
    <w:rsid w:val="00150207"/>
    <w:rsid w:val="001510D5"/>
    <w:rsid w:val="00155C0A"/>
    <w:rsid w:val="0016022F"/>
    <w:rsid w:val="001620E6"/>
    <w:rsid w:val="00162535"/>
    <w:rsid w:val="001625A3"/>
    <w:rsid w:val="001638FF"/>
    <w:rsid w:val="0016546F"/>
    <w:rsid w:val="0016768A"/>
    <w:rsid w:val="001732A0"/>
    <w:rsid w:val="001748E8"/>
    <w:rsid w:val="001754C1"/>
    <w:rsid w:val="00176715"/>
    <w:rsid w:val="001837FD"/>
    <w:rsid w:val="00185AF5"/>
    <w:rsid w:val="001A2974"/>
    <w:rsid w:val="001A6204"/>
    <w:rsid w:val="001A6257"/>
    <w:rsid w:val="001B35C0"/>
    <w:rsid w:val="001B7269"/>
    <w:rsid w:val="001B746A"/>
    <w:rsid w:val="001B7C55"/>
    <w:rsid w:val="001C6151"/>
    <w:rsid w:val="001C72A3"/>
    <w:rsid w:val="001C794E"/>
    <w:rsid w:val="001C7B77"/>
    <w:rsid w:val="001C7D87"/>
    <w:rsid w:val="001D0C0A"/>
    <w:rsid w:val="001D7D62"/>
    <w:rsid w:val="001E1B63"/>
    <w:rsid w:val="001E1B6D"/>
    <w:rsid w:val="001E1E00"/>
    <w:rsid w:val="001E2CBA"/>
    <w:rsid w:val="001E346C"/>
    <w:rsid w:val="001E70E6"/>
    <w:rsid w:val="001E7CCD"/>
    <w:rsid w:val="001F7729"/>
    <w:rsid w:val="001F7C56"/>
    <w:rsid w:val="00203342"/>
    <w:rsid w:val="0020385C"/>
    <w:rsid w:val="00206CEB"/>
    <w:rsid w:val="002074F6"/>
    <w:rsid w:val="00210F3D"/>
    <w:rsid w:val="00212502"/>
    <w:rsid w:val="0021537D"/>
    <w:rsid w:val="00223896"/>
    <w:rsid w:val="00224472"/>
    <w:rsid w:val="00225CEF"/>
    <w:rsid w:val="00226C1F"/>
    <w:rsid w:val="002307DD"/>
    <w:rsid w:val="00231800"/>
    <w:rsid w:val="00232BAF"/>
    <w:rsid w:val="00240F50"/>
    <w:rsid w:val="0024250D"/>
    <w:rsid w:val="00244DF4"/>
    <w:rsid w:val="00251AEB"/>
    <w:rsid w:val="00254426"/>
    <w:rsid w:val="00263798"/>
    <w:rsid w:val="00272E09"/>
    <w:rsid w:val="00273D93"/>
    <w:rsid w:val="002754F1"/>
    <w:rsid w:val="002764B8"/>
    <w:rsid w:val="00283F91"/>
    <w:rsid w:val="00284505"/>
    <w:rsid w:val="00286D23"/>
    <w:rsid w:val="00290540"/>
    <w:rsid w:val="0029085E"/>
    <w:rsid w:val="00296707"/>
    <w:rsid w:val="002A713D"/>
    <w:rsid w:val="002B4DE8"/>
    <w:rsid w:val="002C1F81"/>
    <w:rsid w:val="002C2F8E"/>
    <w:rsid w:val="002C32A2"/>
    <w:rsid w:val="002C4183"/>
    <w:rsid w:val="002C52D6"/>
    <w:rsid w:val="002C671C"/>
    <w:rsid w:val="002D37AB"/>
    <w:rsid w:val="002D4053"/>
    <w:rsid w:val="002E208D"/>
    <w:rsid w:val="002E6EA7"/>
    <w:rsid w:val="002F2F1B"/>
    <w:rsid w:val="002F7626"/>
    <w:rsid w:val="00302333"/>
    <w:rsid w:val="00302EA1"/>
    <w:rsid w:val="00302F05"/>
    <w:rsid w:val="00310291"/>
    <w:rsid w:val="003119C8"/>
    <w:rsid w:val="0031274E"/>
    <w:rsid w:val="00314609"/>
    <w:rsid w:val="00323347"/>
    <w:rsid w:val="003238BF"/>
    <w:rsid w:val="00325952"/>
    <w:rsid w:val="003322CC"/>
    <w:rsid w:val="00332693"/>
    <w:rsid w:val="00332D59"/>
    <w:rsid w:val="003330D9"/>
    <w:rsid w:val="003336AF"/>
    <w:rsid w:val="0034029A"/>
    <w:rsid w:val="00341106"/>
    <w:rsid w:val="0034580D"/>
    <w:rsid w:val="00347890"/>
    <w:rsid w:val="00356373"/>
    <w:rsid w:val="00357275"/>
    <w:rsid w:val="003602BD"/>
    <w:rsid w:val="00361A4C"/>
    <w:rsid w:val="00366E22"/>
    <w:rsid w:val="00367EFD"/>
    <w:rsid w:val="0037333E"/>
    <w:rsid w:val="003739E4"/>
    <w:rsid w:val="00373EFF"/>
    <w:rsid w:val="00377032"/>
    <w:rsid w:val="0038071E"/>
    <w:rsid w:val="00381844"/>
    <w:rsid w:val="003901F0"/>
    <w:rsid w:val="003A3C5A"/>
    <w:rsid w:val="003A5FDF"/>
    <w:rsid w:val="003B02BC"/>
    <w:rsid w:val="003C30D0"/>
    <w:rsid w:val="003C6375"/>
    <w:rsid w:val="003D23A6"/>
    <w:rsid w:val="003D3C35"/>
    <w:rsid w:val="003D64ED"/>
    <w:rsid w:val="003E2E4E"/>
    <w:rsid w:val="003E590A"/>
    <w:rsid w:val="003E6423"/>
    <w:rsid w:val="003F3F93"/>
    <w:rsid w:val="00402210"/>
    <w:rsid w:val="004070D3"/>
    <w:rsid w:val="0041293B"/>
    <w:rsid w:val="0041442B"/>
    <w:rsid w:val="00416BCE"/>
    <w:rsid w:val="004220AC"/>
    <w:rsid w:val="00426474"/>
    <w:rsid w:val="0043545A"/>
    <w:rsid w:val="00441E8A"/>
    <w:rsid w:val="00444271"/>
    <w:rsid w:val="00447724"/>
    <w:rsid w:val="004501FE"/>
    <w:rsid w:val="00461DF6"/>
    <w:rsid w:val="00462EF1"/>
    <w:rsid w:val="004650C5"/>
    <w:rsid w:val="00466109"/>
    <w:rsid w:val="00473A02"/>
    <w:rsid w:val="00476E65"/>
    <w:rsid w:val="004821F6"/>
    <w:rsid w:val="004828CA"/>
    <w:rsid w:val="0048315B"/>
    <w:rsid w:val="00491CF6"/>
    <w:rsid w:val="00494279"/>
    <w:rsid w:val="00494388"/>
    <w:rsid w:val="00496C5F"/>
    <w:rsid w:val="004971DC"/>
    <w:rsid w:val="004A4E7D"/>
    <w:rsid w:val="004A5CA5"/>
    <w:rsid w:val="004A6F22"/>
    <w:rsid w:val="004B0F73"/>
    <w:rsid w:val="004B6544"/>
    <w:rsid w:val="004C1B45"/>
    <w:rsid w:val="004C25F6"/>
    <w:rsid w:val="004C357A"/>
    <w:rsid w:val="004C3E9B"/>
    <w:rsid w:val="004C5A3F"/>
    <w:rsid w:val="004C6216"/>
    <w:rsid w:val="004D03D8"/>
    <w:rsid w:val="004D3B99"/>
    <w:rsid w:val="004D4A36"/>
    <w:rsid w:val="004D592C"/>
    <w:rsid w:val="004D714D"/>
    <w:rsid w:val="004E2708"/>
    <w:rsid w:val="004E31B4"/>
    <w:rsid w:val="004E4041"/>
    <w:rsid w:val="004E5976"/>
    <w:rsid w:val="004E7E2F"/>
    <w:rsid w:val="004F21CC"/>
    <w:rsid w:val="004F2A1C"/>
    <w:rsid w:val="004F3D68"/>
    <w:rsid w:val="00505791"/>
    <w:rsid w:val="00506234"/>
    <w:rsid w:val="00516E0C"/>
    <w:rsid w:val="00517C62"/>
    <w:rsid w:val="00524829"/>
    <w:rsid w:val="005274B9"/>
    <w:rsid w:val="00527F96"/>
    <w:rsid w:val="0053375F"/>
    <w:rsid w:val="00533EF4"/>
    <w:rsid w:val="00545CED"/>
    <w:rsid w:val="00546743"/>
    <w:rsid w:val="00560A9E"/>
    <w:rsid w:val="00564676"/>
    <w:rsid w:val="0056541A"/>
    <w:rsid w:val="00571A77"/>
    <w:rsid w:val="00572046"/>
    <w:rsid w:val="00576820"/>
    <w:rsid w:val="005806B2"/>
    <w:rsid w:val="005852D4"/>
    <w:rsid w:val="0058577C"/>
    <w:rsid w:val="00591B9D"/>
    <w:rsid w:val="005A16FF"/>
    <w:rsid w:val="005A309E"/>
    <w:rsid w:val="005A35B6"/>
    <w:rsid w:val="005B6148"/>
    <w:rsid w:val="005B6C41"/>
    <w:rsid w:val="005C02D9"/>
    <w:rsid w:val="005C4CFA"/>
    <w:rsid w:val="005D041F"/>
    <w:rsid w:val="005D142A"/>
    <w:rsid w:val="005D3EF2"/>
    <w:rsid w:val="005E4A1D"/>
    <w:rsid w:val="005F1CF2"/>
    <w:rsid w:val="00605FE8"/>
    <w:rsid w:val="006072A9"/>
    <w:rsid w:val="0061765A"/>
    <w:rsid w:val="00633E36"/>
    <w:rsid w:val="00641DB7"/>
    <w:rsid w:val="00642472"/>
    <w:rsid w:val="00644E2D"/>
    <w:rsid w:val="006477E2"/>
    <w:rsid w:val="006555A7"/>
    <w:rsid w:val="006603EA"/>
    <w:rsid w:val="00662F15"/>
    <w:rsid w:val="00666618"/>
    <w:rsid w:val="00671A95"/>
    <w:rsid w:val="00675325"/>
    <w:rsid w:val="00675FB0"/>
    <w:rsid w:val="00676DFA"/>
    <w:rsid w:val="006815BB"/>
    <w:rsid w:val="006852D3"/>
    <w:rsid w:val="006863F5"/>
    <w:rsid w:val="006923B3"/>
    <w:rsid w:val="00697DDA"/>
    <w:rsid w:val="006A0E82"/>
    <w:rsid w:val="006A30FB"/>
    <w:rsid w:val="006A55C3"/>
    <w:rsid w:val="006A7E73"/>
    <w:rsid w:val="006B32ED"/>
    <w:rsid w:val="006B7068"/>
    <w:rsid w:val="006B7D27"/>
    <w:rsid w:val="006C6A4D"/>
    <w:rsid w:val="006D1525"/>
    <w:rsid w:val="006D17CF"/>
    <w:rsid w:val="006D3517"/>
    <w:rsid w:val="006D3E00"/>
    <w:rsid w:val="006D6D58"/>
    <w:rsid w:val="006E0BB2"/>
    <w:rsid w:val="006E12B9"/>
    <w:rsid w:val="006E1C59"/>
    <w:rsid w:val="006E2594"/>
    <w:rsid w:val="006E3925"/>
    <w:rsid w:val="006E4570"/>
    <w:rsid w:val="006F31DF"/>
    <w:rsid w:val="006F749B"/>
    <w:rsid w:val="00701192"/>
    <w:rsid w:val="00702129"/>
    <w:rsid w:val="007032A9"/>
    <w:rsid w:val="007060B7"/>
    <w:rsid w:val="00715078"/>
    <w:rsid w:val="00716411"/>
    <w:rsid w:val="00721B6A"/>
    <w:rsid w:val="00732A02"/>
    <w:rsid w:val="00732ED4"/>
    <w:rsid w:val="007334DB"/>
    <w:rsid w:val="007379F3"/>
    <w:rsid w:val="0074385D"/>
    <w:rsid w:val="007463A8"/>
    <w:rsid w:val="00757B13"/>
    <w:rsid w:val="00760CC4"/>
    <w:rsid w:val="007647D1"/>
    <w:rsid w:val="00764A41"/>
    <w:rsid w:val="007672E8"/>
    <w:rsid w:val="0077384B"/>
    <w:rsid w:val="0077512A"/>
    <w:rsid w:val="00775219"/>
    <w:rsid w:val="00777986"/>
    <w:rsid w:val="00784077"/>
    <w:rsid w:val="00792DF0"/>
    <w:rsid w:val="00793E9F"/>
    <w:rsid w:val="007972D7"/>
    <w:rsid w:val="00797618"/>
    <w:rsid w:val="007B0099"/>
    <w:rsid w:val="007B130D"/>
    <w:rsid w:val="007B4DAD"/>
    <w:rsid w:val="007B573E"/>
    <w:rsid w:val="007B75B5"/>
    <w:rsid w:val="007C5048"/>
    <w:rsid w:val="007D053C"/>
    <w:rsid w:val="007D0C9D"/>
    <w:rsid w:val="007D1884"/>
    <w:rsid w:val="007D4073"/>
    <w:rsid w:val="007D4AE8"/>
    <w:rsid w:val="007E0220"/>
    <w:rsid w:val="007E2677"/>
    <w:rsid w:val="007E7A24"/>
    <w:rsid w:val="007F1BA4"/>
    <w:rsid w:val="008008CF"/>
    <w:rsid w:val="00802EDD"/>
    <w:rsid w:val="00806C35"/>
    <w:rsid w:val="0081226B"/>
    <w:rsid w:val="00820636"/>
    <w:rsid w:val="0082324E"/>
    <w:rsid w:val="00824CE5"/>
    <w:rsid w:val="008339C3"/>
    <w:rsid w:val="00835619"/>
    <w:rsid w:val="00836E2C"/>
    <w:rsid w:val="008408B5"/>
    <w:rsid w:val="00843576"/>
    <w:rsid w:val="0084738D"/>
    <w:rsid w:val="0085096F"/>
    <w:rsid w:val="00854DAD"/>
    <w:rsid w:val="00870E8F"/>
    <w:rsid w:val="00875B4E"/>
    <w:rsid w:val="00875E84"/>
    <w:rsid w:val="008805B0"/>
    <w:rsid w:val="00890860"/>
    <w:rsid w:val="008A0659"/>
    <w:rsid w:val="008B1C0D"/>
    <w:rsid w:val="008B4FF1"/>
    <w:rsid w:val="008C1BCB"/>
    <w:rsid w:val="008D0246"/>
    <w:rsid w:val="008D05A9"/>
    <w:rsid w:val="008D106A"/>
    <w:rsid w:val="008D6A36"/>
    <w:rsid w:val="008E0A98"/>
    <w:rsid w:val="008E354F"/>
    <w:rsid w:val="008F25DC"/>
    <w:rsid w:val="008F2B87"/>
    <w:rsid w:val="008F79C6"/>
    <w:rsid w:val="0090441B"/>
    <w:rsid w:val="0090591C"/>
    <w:rsid w:val="009079FF"/>
    <w:rsid w:val="0091222E"/>
    <w:rsid w:val="00914267"/>
    <w:rsid w:val="0091774E"/>
    <w:rsid w:val="00917832"/>
    <w:rsid w:val="00917CCA"/>
    <w:rsid w:val="0092339C"/>
    <w:rsid w:val="009242C2"/>
    <w:rsid w:val="00926CB2"/>
    <w:rsid w:val="00933D82"/>
    <w:rsid w:val="00936D52"/>
    <w:rsid w:val="00937232"/>
    <w:rsid w:val="009415F4"/>
    <w:rsid w:val="00951A8A"/>
    <w:rsid w:val="00963D06"/>
    <w:rsid w:val="009727DA"/>
    <w:rsid w:val="0097373F"/>
    <w:rsid w:val="009A1F4D"/>
    <w:rsid w:val="009A3C8B"/>
    <w:rsid w:val="009C31B9"/>
    <w:rsid w:val="009C4514"/>
    <w:rsid w:val="009C6A9C"/>
    <w:rsid w:val="009E0264"/>
    <w:rsid w:val="009E2172"/>
    <w:rsid w:val="009E7C50"/>
    <w:rsid w:val="009F0B37"/>
    <w:rsid w:val="009F6BA7"/>
    <w:rsid w:val="00A02CBB"/>
    <w:rsid w:val="00A051D6"/>
    <w:rsid w:val="00A0620F"/>
    <w:rsid w:val="00A06907"/>
    <w:rsid w:val="00A12C47"/>
    <w:rsid w:val="00A33A9B"/>
    <w:rsid w:val="00A34971"/>
    <w:rsid w:val="00A362E4"/>
    <w:rsid w:val="00A364B9"/>
    <w:rsid w:val="00A368BE"/>
    <w:rsid w:val="00A37AEB"/>
    <w:rsid w:val="00A44947"/>
    <w:rsid w:val="00A62073"/>
    <w:rsid w:val="00A63FD7"/>
    <w:rsid w:val="00A67BFB"/>
    <w:rsid w:val="00A77207"/>
    <w:rsid w:val="00A902D5"/>
    <w:rsid w:val="00A904A0"/>
    <w:rsid w:val="00A92B8D"/>
    <w:rsid w:val="00AA0367"/>
    <w:rsid w:val="00AA0897"/>
    <w:rsid w:val="00AA4C2C"/>
    <w:rsid w:val="00AB40BF"/>
    <w:rsid w:val="00AB57AC"/>
    <w:rsid w:val="00AC0862"/>
    <w:rsid w:val="00AC7E87"/>
    <w:rsid w:val="00AD16A4"/>
    <w:rsid w:val="00AE4DC7"/>
    <w:rsid w:val="00AE4F63"/>
    <w:rsid w:val="00AE567D"/>
    <w:rsid w:val="00AF1993"/>
    <w:rsid w:val="00AF2FAC"/>
    <w:rsid w:val="00B13970"/>
    <w:rsid w:val="00B2037F"/>
    <w:rsid w:val="00B30C84"/>
    <w:rsid w:val="00B340CD"/>
    <w:rsid w:val="00B42E70"/>
    <w:rsid w:val="00B45D7E"/>
    <w:rsid w:val="00B47CA5"/>
    <w:rsid w:val="00B54FB3"/>
    <w:rsid w:val="00B6004E"/>
    <w:rsid w:val="00B6056E"/>
    <w:rsid w:val="00B665D5"/>
    <w:rsid w:val="00B743CD"/>
    <w:rsid w:val="00B74CDA"/>
    <w:rsid w:val="00B77EB9"/>
    <w:rsid w:val="00B80A5C"/>
    <w:rsid w:val="00B81A48"/>
    <w:rsid w:val="00B86BBC"/>
    <w:rsid w:val="00B934F3"/>
    <w:rsid w:val="00BA16A0"/>
    <w:rsid w:val="00BA664E"/>
    <w:rsid w:val="00BA736A"/>
    <w:rsid w:val="00BA7594"/>
    <w:rsid w:val="00BB091D"/>
    <w:rsid w:val="00BB2F07"/>
    <w:rsid w:val="00BB3068"/>
    <w:rsid w:val="00BB5D20"/>
    <w:rsid w:val="00BC1D2E"/>
    <w:rsid w:val="00BD0CCD"/>
    <w:rsid w:val="00BD21C9"/>
    <w:rsid w:val="00BE1A14"/>
    <w:rsid w:val="00BE2BC8"/>
    <w:rsid w:val="00BE64B6"/>
    <w:rsid w:val="00BE74B6"/>
    <w:rsid w:val="00BE7780"/>
    <w:rsid w:val="00BF1012"/>
    <w:rsid w:val="00BF2BC8"/>
    <w:rsid w:val="00BF6635"/>
    <w:rsid w:val="00C017E3"/>
    <w:rsid w:val="00C06DA4"/>
    <w:rsid w:val="00C1322F"/>
    <w:rsid w:val="00C22571"/>
    <w:rsid w:val="00C23AB7"/>
    <w:rsid w:val="00C23C89"/>
    <w:rsid w:val="00C248DF"/>
    <w:rsid w:val="00C24912"/>
    <w:rsid w:val="00C30235"/>
    <w:rsid w:val="00C3444A"/>
    <w:rsid w:val="00C36107"/>
    <w:rsid w:val="00C3657E"/>
    <w:rsid w:val="00C42F6F"/>
    <w:rsid w:val="00C55731"/>
    <w:rsid w:val="00C6485C"/>
    <w:rsid w:val="00C67B9D"/>
    <w:rsid w:val="00C73103"/>
    <w:rsid w:val="00C73151"/>
    <w:rsid w:val="00C7469F"/>
    <w:rsid w:val="00C74F93"/>
    <w:rsid w:val="00C80E60"/>
    <w:rsid w:val="00C821F5"/>
    <w:rsid w:val="00C8263D"/>
    <w:rsid w:val="00C84812"/>
    <w:rsid w:val="00C86199"/>
    <w:rsid w:val="00C8662D"/>
    <w:rsid w:val="00C96517"/>
    <w:rsid w:val="00CA392B"/>
    <w:rsid w:val="00CA7703"/>
    <w:rsid w:val="00CB0277"/>
    <w:rsid w:val="00CB645F"/>
    <w:rsid w:val="00CB69C6"/>
    <w:rsid w:val="00CB6F39"/>
    <w:rsid w:val="00CC10FE"/>
    <w:rsid w:val="00CC2594"/>
    <w:rsid w:val="00CC46C6"/>
    <w:rsid w:val="00CD571D"/>
    <w:rsid w:val="00CE2C2E"/>
    <w:rsid w:val="00CF38B8"/>
    <w:rsid w:val="00CF4870"/>
    <w:rsid w:val="00CF6855"/>
    <w:rsid w:val="00D00C6F"/>
    <w:rsid w:val="00D114AB"/>
    <w:rsid w:val="00D157B6"/>
    <w:rsid w:val="00D16D68"/>
    <w:rsid w:val="00D20E3F"/>
    <w:rsid w:val="00D22BD2"/>
    <w:rsid w:val="00D233FE"/>
    <w:rsid w:val="00D2566F"/>
    <w:rsid w:val="00D32C45"/>
    <w:rsid w:val="00D3337D"/>
    <w:rsid w:val="00D42B9C"/>
    <w:rsid w:val="00D44355"/>
    <w:rsid w:val="00D45F3E"/>
    <w:rsid w:val="00D52F2A"/>
    <w:rsid w:val="00D54E14"/>
    <w:rsid w:val="00D55327"/>
    <w:rsid w:val="00D55B8E"/>
    <w:rsid w:val="00D61564"/>
    <w:rsid w:val="00D63832"/>
    <w:rsid w:val="00D71B6A"/>
    <w:rsid w:val="00D734E2"/>
    <w:rsid w:val="00D77615"/>
    <w:rsid w:val="00D933E2"/>
    <w:rsid w:val="00DB3C57"/>
    <w:rsid w:val="00DB4323"/>
    <w:rsid w:val="00DB72C8"/>
    <w:rsid w:val="00DB7B19"/>
    <w:rsid w:val="00DC55F8"/>
    <w:rsid w:val="00DD64AA"/>
    <w:rsid w:val="00DD69B7"/>
    <w:rsid w:val="00DE38F2"/>
    <w:rsid w:val="00DE7B96"/>
    <w:rsid w:val="00DE7C05"/>
    <w:rsid w:val="00DF0DC6"/>
    <w:rsid w:val="00DF3AD6"/>
    <w:rsid w:val="00DF6428"/>
    <w:rsid w:val="00DF7ACC"/>
    <w:rsid w:val="00E01692"/>
    <w:rsid w:val="00E06B17"/>
    <w:rsid w:val="00E07FF9"/>
    <w:rsid w:val="00E10078"/>
    <w:rsid w:val="00E10421"/>
    <w:rsid w:val="00E12392"/>
    <w:rsid w:val="00E13228"/>
    <w:rsid w:val="00E15A7E"/>
    <w:rsid w:val="00E15ABE"/>
    <w:rsid w:val="00E16D20"/>
    <w:rsid w:val="00E1725B"/>
    <w:rsid w:val="00E20DDE"/>
    <w:rsid w:val="00E21E9A"/>
    <w:rsid w:val="00E26E86"/>
    <w:rsid w:val="00E30A3F"/>
    <w:rsid w:val="00E31538"/>
    <w:rsid w:val="00E3510C"/>
    <w:rsid w:val="00E3733F"/>
    <w:rsid w:val="00E42CC7"/>
    <w:rsid w:val="00E47197"/>
    <w:rsid w:val="00E50DC7"/>
    <w:rsid w:val="00E6028F"/>
    <w:rsid w:val="00E64147"/>
    <w:rsid w:val="00E6691C"/>
    <w:rsid w:val="00E66AB3"/>
    <w:rsid w:val="00E7000F"/>
    <w:rsid w:val="00E73B70"/>
    <w:rsid w:val="00E750AF"/>
    <w:rsid w:val="00E753B3"/>
    <w:rsid w:val="00E77C1B"/>
    <w:rsid w:val="00E81241"/>
    <w:rsid w:val="00E85CE1"/>
    <w:rsid w:val="00E87842"/>
    <w:rsid w:val="00E93A1A"/>
    <w:rsid w:val="00E94742"/>
    <w:rsid w:val="00E975D5"/>
    <w:rsid w:val="00EA42C0"/>
    <w:rsid w:val="00EA51F0"/>
    <w:rsid w:val="00EB0B95"/>
    <w:rsid w:val="00EB3783"/>
    <w:rsid w:val="00EB4DA0"/>
    <w:rsid w:val="00EC210D"/>
    <w:rsid w:val="00EC66AC"/>
    <w:rsid w:val="00ED0B3A"/>
    <w:rsid w:val="00ED31BB"/>
    <w:rsid w:val="00ED61C5"/>
    <w:rsid w:val="00ED682E"/>
    <w:rsid w:val="00ED7914"/>
    <w:rsid w:val="00EE23A3"/>
    <w:rsid w:val="00EE53D4"/>
    <w:rsid w:val="00EE6CD4"/>
    <w:rsid w:val="00EE76CF"/>
    <w:rsid w:val="00F1135C"/>
    <w:rsid w:val="00F118F3"/>
    <w:rsid w:val="00F1247F"/>
    <w:rsid w:val="00F15A75"/>
    <w:rsid w:val="00F1611B"/>
    <w:rsid w:val="00F21902"/>
    <w:rsid w:val="00F34ED6"/>
    <w:rsid w:val="00F37051"/>
    <w:rsid w:val="00F3772C"/>
    <w:rsid w:val="00F401D3"/>
    <w:rsid w:val="00F41966"/>
    <w:rsid w:val="00F47BB7"/>
    <w:rsid w:val="00F50F36"/>
    <w:rsid w:val="00F53FD1"/>
    <w:rsid w:val="00F62BE5"/>
    <w:rsid w:val="00F66C52"/>
    <w:rsid w:val="00F80D15"/>
    <w:rsid w:val="00F84515"/>
    <w:rsid w:val="00F85B7E"/>
    <w:rsid w:val="00F94251"/>
    <w:rsid w:val="00F960C8"/>
    <w:rsid w:val="00FA10B5"/>
    <w:rsid w:val="00FA34C9"/>
    <w:rsid w:val="00FB5224"/>
    <w:rsid w:val="00FC0200"/>
    <w:rsid w:val="00FC07CD"/>
    <w:rsid w:val="00FC2994"/>
    <w:rsid w:val="00FC6377"/>
    <w:rsid w:val="00FD457B"/>
    <w:rsid w:val="00FE0C63"/>
    <w:rsid w:val="00FE1ED6"/>
    <w:rsid w:val="00FF05CA"/>
    <w:rsid w:val="00FF3F18"/>
    <w:rsid w:val="00FF4FAB"/>
    <w:rsid w:val="00FF7325"/>
    <w:rsid w:val="01E57726"/>
    <w:rsid w:val="01EB4D2B"/>
    <w:rsid w:val="02A8425B"/>
    <w:rsid w:val="02F64771"/>
    <w:rsid w:val="03455F4E"/>
    <w:rsid w:val="034C108A"/>
    <w:rsid w:val="036A59B4"/>
    <w:rsid w:val="036C6FAA"/>
    <w:rsid w:val="046B5540"/>
    <w:rsid w:val="047C5D71"/>
    <w:rsid w:val="04AE367F"/>
    <w:rsid w:val="05602865"/>
    <w:rsid w:val="06257970"/>
    <w:rsid w:val="067542EE"/>
    <w:rsid w:val="06BD5DFB"/>
    <w:rsid w:val="06C35640"/>
    <w:rsid w:val="075F6EB2"/>
    <w:rsid w:val="07724E37"/>
    <w:rsid w:val="07927288"/>
    <w:rsid w:val="07A5520D"/>
    <w:rsid w:val="08512C9F"/>
    <w:rsid w:val="08534C69"/>
    <w:rsid w:val="08C756EA"/>
    <w:rsid w:val="090D12BC"/>
    <w:rsid w:val="09A37AC8"/>
    <w:rsid w:val="09CF6571"/>
    <w:rsid w:val="0A03446D"/>
    <w:rsid w:val="0A0C3321"/>
    <w:rsid w:val="0AD876A7"/>
    <w:rsid w:val="0B8D0492"/>
    <w:rsid w:val="0BCB0FBA"/>
    <w:rsid w:val="0BF422BF"/>
    <w:rsid w:val="0C2F779B"/>
    <w:rsid w:val="0D896A37"/>
    <w:rsid w:val="0D8A49C8"/>
    <w:rsid w:val="0DA81709"/>
    <w:rsid w:val="0DBC0BBA"/>
    <w:rsid w:val="0DE6032D"/>
    <w:rsid w:val="0E7E0566"/>
    <w:rsid w:val="0E813BB2"/>
    <w:rsid w:val="0E975183"/>
    <w:rsid w:val="0EB45D35"/>
    <w:rsid w:val="0EC95C85"/>
    <w:rsid w:val="0EF10D38"/>
    <w:rsid w:val="0FF24D67"/>
    <w:rsid w:val="103C2486"/>
    <w:rsid w:val="11553800"/>
    <w:rsid w:val="11845507"/>
    <w:rsid w:val="1187746F"/>
    <w:rsid w:val="11ED1C8A"/>
    <w:rsid w:val="125735A8"/>
    <w:rsid w:val="129C0FBA"/>
    <w:rsid w:val="16157A01"/>
    <w:rsid w:val="161B669A"/>
    <w:rsid w:val="16BC74A5"/>
    <w:rsid w:val="17602EFE"/>
    <w:rsid w:val="176409E9"/>
    <w:rsid w:val="176412EE"/>
    <w:rsid w:val="17D5260B"/>
    <w:rsid w:val="17E458DD"/>
    <w:rsid w:val="181E2472"/>
    <w:rsid w:val="183D4FEE"/>
    <w:rsid w:val="18D45952"/>
    <w:rsid w:val="195E16BF"/>
    <w:rsid w:val="19BF2DC6"/>
    <w:rsid w:val="1A366198"/>
    <w:rsid w:val="1A9133CF"/>
    <w:rsid w:val="1AE27BDB"/>
    <w:rsid w:val="1B07500F"/>
    <w:rsid w:val="1BDC5E38"/>
    <w:rsid w:val="1C2362A8"/>
    <w:rsid w:val="1C850D11"/>
    <w:rsid w:val="1CB85048"/>
    <w:rsid w:val="1D813BCE"/>
    <w:rsid w:val="1DA82F09"/>
    <w:rsid w:val="1E0A7720"/>
    <w:rsid w:val="1E214A6A"/>
    <w:rsid w:val="1E7554E1"/>
    <w:rsid w:val="21314F11"/>
    <w:rsid w:val="217A4BBD"/>
    <w:rsid w:val="22B07F08"/>
    <w:rsid w:val="22D36C7A"/>
    <w:rsid w:val="232A43C0"/>
    <w:rsid w:val="23B51EDC"/>
    <w:rsid w:val="23C54EC2"/>
    <w:rsid w:val="23F238FA"/>
    <w:rsid w:val="249B7324"/>
    <w:rsid w:val="24E4520A"/>
    <w:rsid w:val="24E8008F"/>
    <w:rsid w:val="253D03DB"/>
    <w:rsid w:val="26630315"/>
    <w:rsid w:val="268B33C8"/>
    <w:rsid w:val="268D3AE2"/>
    <w:rsid w:val="26C34DBF"/>
    <w:rsid w:val="27882DB9"/>
    <w:rsid w:val="27BF5A1F"/>
    <w:rsid w:val="27DA4607"/>
    <w:rsid w:val="27EE3C0E"/>
    <w:rsid w:val="28085488"/>
    <w:rsid w:val="28A80261"/>
    <w:rsid w:val="29194CBB"/>
    <w:rsid w:val="29982084"/>
    <w:rsid w:val="29CB06AB"/>
    <w:rsid w:val="2A36189D"/>
    <w:rsid w:val="2A53244F"/>
    <w:rsid w:val="2B56339F"/>
    <w:rsid w:val="2BFD6B16"/>
    <w:rsid w:val="2C31056E"/>
    <w:rsid w:val="2C8608B9"/>
    <w:rsid w:val="2C9876F9"/>
    <w:rsid w:val="2CCE400E"/>
    <w:rsid w:val="2CFA2FF3"/>
    <w:rsid w:val="2D5269EE"/>
    <w:rsid w:val="2D867872"/>
    <w:rsid w:val="2DCA2A28"/>
    <w:rsid w:val="2DE57862"/>
    <w:rsid w:val="2E89643F"/>
    <w:rsid w:val="2F3A3BDD"/>
    <w:rsid w:val="2F432A92"/>
    <w:rsid w:val="3010129C"/>
    <w:rsid w:val="30202DD3"/>
    <w:rsid w:val="30706EDD"/>
    <w:rsid w:val="30A12166"/>
    <w:rsid w:val="31F55A17"/>
    <w:rsid w:val="3201436E"/>
    <w:rsid w:val="32F01183"/>
    <w:rsid w:val="332A2DF3"/>
    <w:rsid w:val="33423060"/>
    <w:rsid w:val="3350577D"/>
    <w:rsid w:val="33B95A18"/>
    <w:rsid w:val="33C341A1"/>
    <w:rsid w:val="344828F8"/>
    <w:rsid w:val="346B0FCC"/>
    <w:rsid w:val="36363350"/>
    <w:rsid w:val="369736C3"/>
    <w:rsid w:val="36AA789A"/>
    <w:rsid w:val="36C67D60"/>
    <w:rsid w:val="36C941C4"/>
    <w:rsid w:val="370945C1"/>
    <w:rsid w:val="379522F8"/>
    <w:rsid w:val="38AC5B4C"/>
    <w:rsid w:val="393671C3"/>
    <w:rsid w:val="393B4174"/>
    <w:rsid w:val="3A2608AF"/>
    <w:rsid w:val="3A9B19D4"/>
    <w:rsid w:val="3B1E43B3"/>
    <w:rsid w:val="3B6B63DE"/>
    <w:rsid w:val="3B8E32E7"/>
    <w:rsid w:val="3C335C3C"/>
    <w:rsid w:val="3CA60B04"/>
    <w:rsid w:val="3CE84C78"/>
    <w:rsid w:val="3CED6A0B"/>
    <w:rsid w:val="3D1428F1"/>
    <w:rsid w:val="3E23240C"/>
    <w:rsid w:val="3E3839DE"/>
    <w:rsid w:val="3EAA777E"/>
    <w:rsid w:val="3EAB41B0"/>
    <w:rsid w:val="3EAD1CD6"/>
    <w:rsid w:val="3FA12655"/>
    <w:rsid w:val="3FA255B3"/>
    <w:rsid w:val="3FE67B95"/>
    <w:rsid w:val="40833636"/>
    <w:rsid w:val="41016309"/>
    <w:rsid w:val="41056762"/>
    <w:rsid w:val="4110479E"/>
    <w:rsid w:val="41716DDF"/>
    <w:rsid w:val="41870F04"/>
    <w:rsid w:val="41DA7433"/>
    <w:rsid w:val="41E73751"/>
    <w:rsid w:val="42DA5063"/>
    <w:rsid w:val="431524E5"/>
    <w:rsid w:val="4326474D"/>
    <w:rsid w:val="43362BE2"/>
    <w:rsid w:val="4363240F"/>
    <w:rsid w:val="4374370A"/>
    <w:rsid w:val="441D78FE"/>
    <w:rsid w:val="44CC6C2E"/>
    <w:rsid w:val="44F87A23"/>
    <w:rsid w:val="458F482B"/>
    <w:rsid w:val="45FD79E7"/>
    <w:rsid w:val="461D1E37"/>
    <w:rsid w:val="46415E75"/>
    <w:rsid w:val="46C6520E"/>
    <w:rsid w:val="46D00C57"/>
    <w:rsid w:val="47B10A89"/>
    <w:rsid w:val="47C167F2"/>
    <w:rsid w:val="47D46525"/>
    <w:rsid w:val="48A91760"/>
    <w:rsid w:val="48BF0F83"/>
    <w:rsid w:val="48BF5427"/>
    <w:rsid w:val="491D5CAA"/>
    <w:rsid w:val="49706721"/>
    <w:rsid w:val="4A0550BC"/>
    <w:rsid w:val="4A954692"/>
    <w:rsid w:val="4AFD2124"/>
    <w:rsid w:val="4B1F21AD"/>
    <w:rsid w:val="4B2C0426"/>
    <w:rsid w:val="4BA33B41"/>
    <w:rsid w:val="4C4F261E"/>
    <w:rsid w:val="4C6C4CA6"/>
    <w:rsid w:val="4D0E072B"/>
    <w:rsid w:val="4D542171"/>
    <w:rsid w:val="4DDE00FE"/>
    <w:rsid w:val="4F304989"/>
    <w:rsid w:val="4F786330"/>
    <w:rsid w:val="4F961AA4"/>
    <w:rsid w:val="50C14FEE"/>
    <w:rsid w:val="50FD59FB"/>
    <w:rsid w:val="516A0813"/>
    <w:rsid w:val="51AA02F7"/>
    <w:rsid w:val="521465CD"/>
    <w:rsid w:val="5253273C"/>
    <w:rsid w:val="52C11118"/>
    <w:rsid w:val="52F932E4"/>
    <w:rsid w:val="532540D9"/>
    <w:rsid w:val="53D92EA5"/>
    <w:rsid w:val="543C3DD0"/>
    <w:rsid w:val="549B4686"/>
    <w:rsid w:val="54D73AF9"/>
    <w:rsid w:val="555B64D8"/>
    <w:rsid w:val="556F5ADF"/>
    <w:rsid w:val="559317CE"/>
    <w:rsid w:val="561072C2"/>
    <w:rsid w:val="56EF512A"/>
    <w:rsid w:val="570C702E"/>
    <w:rsid w:val="570D735E"/>
    <w:rsid w:val="57160908"/>
    <w:rsid w:val="57633422"/>
    <w:rsid w:val="57671164"/>
    <w:rsid w:val="57D52571"/>
    <w:rsid w:val="58417C07"/>
    <w:rsid w:val="58AE0490"/>
    <w:rsid w:val="59CE54CA"/>
    <w:rsid w:val="5A106C80"/>
    <w:rsid w:val="5AB04BD0"/>
    <w:rsid w:val="5AEC1C23"/>
    <w:rsid w:val="5B0373F5"/>
    <w:rsid w:val="5B0B62AA"/>
    <w:rsid w:val="5BD20B76"/>
    <w:rsid w:val="5DA16A52"/>
    <w:rsid w:val="5DEF1EB3"/>
    <w:rsid w:val="5DF337AF"/>
    <w:rsid w:val="5E547F68"/>
    <w:rsid w:val="5EB84053"/>
    <w:rsid w:val="600F4147"/>
    <w:rsid w:val="603E220B"/>
    <w:rsid w:val="60657BC8"/>
    <w:rsid w:val="606F1089"/>
    <w:rsid w:val="607E17B0"/>
    <w:rsid w:val="60940AF0"/>
    <w:rsid w:val="60F64DF6"/>
    <w:rsid w:val="610E00FC"/>
    <w:rsid w:val="61482F5B"/>
    <w:rsid w:val="61E138C1"/>
    <w:rsid w:val="62065A1D"/>
    <w:rsid w:val="62353C0D"/>
    <w:rsid w:val="6263077A"/>
    <w:rsid w:val="627604AD"/>
    <w:rsid w:val="63D01E3F"/>
    <w:rsid w:val="63DC07E4"/>
    <w:rsid w:val="643979E4"/>
    <w:rsid w:val="64D67929"/>
    <w:rsid w:val="64D8544F"/>
    <w:rsid w:val="64EF4547"/>
    <w:rsid w:val="651B533C"/>
    <w:rsid w:val="66540B05"/>
    <w:rsid w:val="66F347C2"/>
    <w:rsid w:val="66FF2FE0"/>
    <w:rsid w:val="671604B0"/>
    <w:rsid w:val="685E210F"/>
    <w:rsid w:val="68993147"/>
    <w:rsid w:val="693E5A9D"/>
    <w:rsid w:val="694C1F68"/>
    <w:rsid w:val="69653029"/>
    <w:rsid w:val="6966613E"/>
    <w:rsid w:val="698A2A90"/>
    <w:rsid w:val="6A0C0B65"/>
    <w:rsid w:val="6A3D5A7C"/>
    <w:rsid w:val="6AC10733"/>
    <w:rsid w:val="6CA4030D"/>
    <w:rsid w:val="6CA77FD4"/>
    <w:rsid w:val="6D321EEB"/>
    <w:rsid w:val="6D3E250F"/>
    <w:rsid w:val="6D4B2536"/>
    <w:rsid w:val="6DB63E53"/>
    <w:rsid w:val="6DF826BE"/>
    <w:rsid w:val="6E1B63AC"/>
    <w:rsid w:val="6E34121C"/>
    <w:rsid w:val="6E545D1A"/>
    <w:rsid w:val="6E587601"/>
    <w:rsid w:val="6EBE3E29"/>
    <w:rsid w:val="6ECD6A6C"/>
    <w:rsid w:val="6F834209"/>
    <w:rsid w:val="6FAB0A96"/>
    <w:rsid w:val="6FBB1BF5"/>
    <w:rsid w:val="70381498"/>
    <w:rsid w:val="70A54CAD"/>
    <w:rsid w:val="70AD3C34"/>
    <w:rsid w:val="70C76378"/>
    <w:rsid w:val="71B92164"/>
    <w:rsid w:val="71E33685"/>
    <w:rsid w:val="72655E27"/>
    <w:rsid w:val="72776AC4"/>
    <w:rsid w:val="73312FEB"/>
    <w:rsid w:val="738C40E9"/>
    <w:rsid w:val="73AD3F4B"/>
    <w:rsid w:val="73C2735E"/>
    <w:rsid w:val="73EA0CFB"/>
    <w:rsid w:val="74502201"/>
    <w:rsid w:val="7476433D"/>
    <w:rsid w:val="75573453"/>
    <w:rsid w:val="7581743D"/>
    <w:rsid w:val="76650B0D"/>
    <w:rsid w:val="77334767"/>
    <w:rsid w:val="77D7258D"/>
    <w:rsid w:val="780B1240"/>
    <w:rsid w:val="796B468C"/>
    <w:rsid w:val="797465C7"/>
    <w:rsid w:val="799F7E92"/>
    <w:rsid w:val="79E95AFF"/>
    <w:rsid w:val="79F0693F"/>
    <w:rsid w:val="7A125824"/>
    <w:rsid w:val="7A3B22B0"/>
    <w:rsid w:val="7A3B52F4"/>
    <w:rsid w:val="7A8A6D94"/>
    <w:rsid w:val="7AB636E5"/>
    <w:rsid w:val="7AD46261"/>
    <w:rsid w:val="7BE20509"/>
    <w:rsid w:val="7C623812"/>
    <w:rsid w:val="7C727ADF"/>
    <w:rsid w:val="7C8021FC"/>
    <w:rsid w:val="7CB1685A"/>
    <w:rsid w:val="7E1D3A7B"/>
    <w:rsid w:val="7E5F4093"/>
    <w:rsid w:val="7EDC3936"/>
    <w:rsid w:val="7FBE4D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qFormat="1" w:unhideWhenUsed="0" w:uiPriority="1"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unhideWhenUsed/>
    <w:qFormat/>
    <w:uiPriority w:val="39"/>
    <w:pPr>
      <w:ind w:left="1050"/>
      <w:jc w:val="left"/>
    </w:pPr>
    <w:rPr>
      <w:rFonts w:asciiTheme="minorHAnsi" w:hAnsiTheme="minorHAnsi" w:cstheme="minorHAnsi"/>
      <w:sz w:val="20"/>
    </w:rPr>
  </w:style>
  <w:style w:type="paragraph" w:styleId="3">
    <w:name w:val="annotation text"/>
    <w:basedOn w:val="1"/>
    <w:link w:val="34"/>
    <w:unhideWhenUsed/>
    <w:qFormat/>
    <w:uiPriority w:val="99"/>
    <w:pPr>
      <w:jc w:val="left"/>
    </w:pPr>
  </w:style>
  <w:style w:type="paragraph" w:styleId="4">
    <w:name w:val="Body Text Indent"/>
    <w:basedOn w:val="1"/>
    <w:link w:val="27"/>
    <w:qFormat/>
    <w:uiPriority w:val="0"/>
    <w:pPr>
      <w:spacing w:line="480" w:lineRule="exact"/>
      <w:ind w:left="1260"/>
    </w:pPr>
    <w:rPr>
      <w:rFonts w:ascii="仿宋_GB2312" w:eastAsia="仿宋_GB2312"/>
      <w:sz w:val="30"/>
    </w:rPr>
  </w:style>
  <w:style w:type="paragraph" w:styleId="5">
    <w:name w:val="toc 5"/>
    <w:basedOn w:val="1"/>
    <w:next w:val="1"/>
    <w:unhideWhenUsed/>
    <w:qFormat/>
    <w:uiPriority w:val="39"/>
    <w:pPr>
      <w:ind w:left="630"/>
      <w:jc w:val="left"/>
    </w:pPr>
    <w:rPr>
      <w:rFonts w:asciiTheme="minorHAnsi" w:hAnsiTheme="minorHAnsi" w:cstheme="minorHAnsi"/>
      <w:sz w:val="20"/>
    </w:rPr>
  </w:style>
  <w:style w:type="paragraph" w:styleId="6">
    <w:name w:val="toc 3"/>
    <w:basedOn w:val="1"/>
    <w:next w:val="1"/>
    <w:unhideWhenUsed/>
    <w:qFormat/>
    <w:uiPriority w:val="39"/>
    <w:pPr>
      <w:ind w:left="210"/>
      <w:jc w:val="left"/>
    </w:pPr>
    <w:rPr>
      <w:rFonts w:asciiTheme="minorHAnsi" w:hAnsiTheme="minorHAnsi" w:cstheme="minorHAnsi"/>
      <w:sz w:val="20"/>
    </w:rPr>
  </w:style>
  <w:style w:type="paragraph" w:styleId="7">
    <w:name w:val="toc 8"/>
    <w:basedOn w:val="1"/>
    <w:next w:val="1"/>
    <w:unhideWhenUsed/>
    <w:qFormat/>
    <w:uiPriority w:val="39"/>
    <w:pPr>
      <w:ind w:left="1260"/>
      <w:jc w:val="left"/>
    </w:pPr>
    <w:rPr>
      <w:rFonts w:asciiTheme="minorHAnsi" w:hAnsiTheme="minorHAnsi" w:cstheme="minorHAnsi"/>
      <w:sz w:val="20"/>
    </w:rPr>
  </w:style>
  <w:style w:type="paragraph" w:styleId="8">
    <w:name w:val="Balloon Text"/>
    <w:basedOn w:val="1"/>
    <w:link w:val="32"/>
    <w:semiHidden/>
    <w:unhideWhenUsed/>
    <w:qFormat/>
    <w:uiPriority w:val="99"/>
    <w:rPr>
      <w:sz w:val="18"/>
      <w:szCs w:val="18"/>
    </w:rPr>
  </w:style>
  <w:style w:type="paragraph" w:styleId="9">
    <w:name w:val="footer"/>
    <w:basedOn w:val="1"/>
    <w:link w:val="28"/>
    <w:qFormat/>
    <w:uiPriority w:val="99"/>
    <w:pPr>
      <w:tabs>
        <w:tab w:val="center" w:pos="4153"/>
        <w:tab w:val="right" w:pos="8306"/>
      </w:tabs>
      <w:snapToGrid w:val="0"/>
      <w:jc w:val="left"/>
    </w:pPr>
    <w:rPr>
      <w:sz w:val="18"/>
    </w:rPr>
  </w:style>
  <w:style w:type="paragraph" w:styleId="10">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360"/>
      <w:jc w:val="left"/>
    </w:pPr>
    <w:rPr>
      <w:rFonts w:asciiTheme="majorHAnsi" w:hAnsiTheme="majorHAnsi"/>
      <w:b/>
      <w:bCs/>
      <w:caps/>
      <w:sz w:val="24"/>
      <w:szCs w:val="24"/>
    </w:rPr>
  </w:style>
  <w:style w:type="paragraph" w:styleId="12">
    <w:name w:val="toc 4"/>
    <w:basedOn w:val="1"/>
    <w:next w:val="1"/>
    <w:unhideWhenUsed/>
    <w:qFormat/>
    <w:uiPriority w:val="39"/>
    <w:pPr>
      <w:ind w:left="420"/>
      <w:jc w:val="left"/>
    </w:pPr>
    <w:rPr>
      <w:rFonts w:asciiTheme="minorHAnsi" w:hAnsiTheme="minorHAnsi" w:cstheme="minorHAnsi"/>
      <w:sz w:val="20"/>
    </w:rPr>
  </w:style>
  <w:style w:type="paragraph" w:styleId="13">
    <w:name w:val="Subtitle"/>
    <w:basedOn w:val="1"/>
    <w:next w:val="1"/>
    <w:link w:val="31"/>
    <w:qFormat/>
    <w:uiPriority w:val="0"/>
    <w:pPr>
      <w:spacing w:before="240" w:after="60" w:line="312" w:lineRule="auto"/>
      <w:jc w:val="center"/>
      <w:outlineLvl w:val="1"/>
    </w:pPr>
    <w:rPr>
      <w:rFonts w:ascii="Cambria" w:hAnsi="Cambria"/>
      <w:b/>
      <w:bCs/>
      <w:kern w:val="28"/>
      <w:sz w:val="32"/>
      <w:szCs w:val="32"/>
    </w:rPr>
  </w:style>
  <w:style w:type="paragraph" w:styleId="14">
    <w:name w:val="toc 6"/>
    <w:basedOn w:val="1"/>
    <w:next w:val="1"/>
    <w:unhideWhenUsed/>
    <w:qFormat/>
    <w:uiPriority w:val="39"/>
    <w:pPr>
      <w:ind w:left="840"/>
      <w:jc w:val="left"/>
    </w:pPr>
    <w:rPr>
      <w:rFonts w:asciiTheme="minorHAnsi" w:hAnsiTheme="minorHAnsi" w:cstheme="minorHAnsi"/>
      <w:sz w:val="20"/>
    </w:rPr>
  </w:style>
  <w:style w:type="paragraph" w:styleId="15">
    <w:name w:val="toc 2"/>
    <w:basedOn w:val="1"/>
    <w:next w:val="1"/>
    <w:qFormat/>
    <w:uiPriority w:val="39"/>
    <w:pPr>
      <w:spacing w:before="240"/>
      <w:jc w:val="left"/>
    </w:pPr>
    <w:rPr>
      <w:rFonts w:asciiTheme="minorHAnsi" w:hAnsiTheme="minorHAnsi" w:cstheme="minorHAnsi"/>
      <w:b/>
      <w:bCs/>
      <w:sz w:val="20"/>
    </w:rPr>
  </w:style>
  <w:style w:type="paragraph" w:styleId="16">
    <w:name w:val="toc 9"/>
    <w:basedOn w:val="1"/>
    <w:next w:val="1"/>
    <w:unhideWhenUsed/>
    <w:qFormat/>
    <w:uiPriority w:val="39"/>
    <w:pPr>
      <w:ind w:left="1470"/>
      <w:jc w:val="left"/>
    </w:pPr>
    <w:rPr>
      <w:rFonts w:asciiTheme="minorHAnsi" w:hAnsiTheme="minorHAnsi" w:cstheme="minorHAnsi"/>
      <w:sz w:val="20"/>
    </w:rPr>
  </w:style>
  <w:style w:type="paragraph" w:styleId="17">
    <w:name w:val="Body Text 2"/>
    <w:basedOn w:val="1"/>
    <w:link w:val="40"/>
    <w:semiHidden/>
    <w:unhideWhenUsed/>
    <w:qFormat/>
    <w:uiPriority w:val="99"/>
    <w:pPr>
      <w:spacing w:after="120" w:line="480" w:lineRule="auto"/>
    </w:pPr>
  </w:style>
  <w:style w:type="paragraph" w:styleId="18">
    <w:name w:val="List Continue 2"/>
    <w:basedOn w:val="1"/>
    <w:qFormat/>
    <w:uiPriority w:val="1"/>
    <w:pPr>
      <w:widowControl/>
      <w:spacing w:after="120" w:line="300" w:lineRule="auto"/>
      <w:ind w:left="840" w:leftChars="400" w:firstLine="200" w:firstLineChars="200"/>
      <w:jc w:val="left"/>
    </w:pPr>
    <w:rPr>
      <w:kern w:val="0"/>
      <w:sz w:val="24"/>
      <w:szCs w:val="24"/>
      <w:lang w:eastAsia="en-US"/>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0">
    <w:name w:val="annotation subject"/>
    <w:basedOn w:val="3"/>
    <w:next w:val="3"/>
    <w:link w:val="35"/>
    <w:semiHidden/>
    <w:unhideWhenUsed/>
    <w:qFormat/>
    <w:uiPriority w:val="99"/>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unhideWhenUsed/>
    <w:qFormat/>
    <w:uiPriority w:val="99"/>
    <w:rPr>
      <w:color w:val="0000FF"/>
      <w:u w:val="single"/>
    </w:rPr>
  </w:style>
  <w:style w:type="character" w:styleId="26">
    <w:name w:val="annotation reference"/>
    <w:basedOn w:val="23"/>
    <w:semiHidden/>
    <w:unhideWhenUsed/>
    <w:qFormat/>
    <w:uiPriority w:val="99"/>
    <w:rPr>
      <w:sz w:val="21"/>
      <w:szCs w:val="21"/>
    </w:rPr>
  </w:style>
  <w:style w:type="character" w:customStyle="1" w:styleId="27">
    <w:name w:val="正文文本缩进 字符"/>
    <w:basedOn w:val="23"/>
    <w:link w:val="4"/>
    <w:qFormat/>
    <w:uiPriority w:val="0"/>
    <w:rPr>
      <w:rFonts w:ascii="仿宋_GB2312" w:hAnsi="Times New Roman" w:eastAsia="仿宋_GB2312" w:cs="Times New Roman"/>
      <w:sz w:val="30"/>
      <w:szCs w:val="20"/>
    </w:rPr>
  </w:style>
  <w:style w:type="character" w:customStyle="1" w:styleId="28">
    <w:name w:val="页脚 字符"/>
    <w:basedOn w:val="23"/>
    <w:link w:val="9"/>
    <w:qFormat/>
    <w:uiPriority w:val="99"/>
    <w:rPr>
      <w:rFonts w:ascii="Times New Roman" w:hAnsi="Times New Roman" w:eastAsia="宋体" w:cs="Times New Roman"/>
      <w:sz w:val="18"/>
      <w:szCs w:val="20"/>
    </w:rPr>
  </w:style>
  <w:style w:type="paragraph" w:styleId="29">
    <w:name w:val="List Paragraph"/>
    <w:basedOn w:val="1"/>
    <w:qFormat/>
    <w:uiPriority w:val="34"/>
    <w:pPr>
      <w:ind w:firstLine="420" w:firstLineChars="200"/>
    </w:pPr>
    <w:rPr>
      <w:rFonts w:ascii="Calibri" w:hAnsi="Calibri"/>
      <w:szCs w:val="22"/>
    </w:rPr>
  </w:style>
  <w:style w:type="paragraph" w:customStyle="1" w:styleId="30">
    <w:name w:val="FANUC_中文正文"/>
    <w:basedOn w:val="1"/>
    <w:qFormat/>
    <w:uiPriority w:val="1"/>
    <w:pPr>
      <w:adjustRightInd w:val="0"/>
      <w:spacing w:line="320" w:lineRule="exact"/>
    </w:pPr>
    <w:rPr>
      <w:rFonts w:ascii="微软雅黑" w:hAnsi="微软雅黑" w:cs="Arial"/>
      <w:sz w:val="20"/>
      <w:szCs w:val="21"/>
    </w:rPr>
  </w:style>
  <w:style w:type="character" w:customStyle="1" w:styleId="31">
    <w:name w:val="副标题 字符"/>
    <w:basedOn w:val="23"/>
    <w:link w:val="13"/>
    <w:qFormat/>
    <w:uiPriority w:val="1"/>
    <w:rPr>
      <w:rFonts w:ascii="Cambria" w:hAnsi="Cambria" w:eastAsia="宋体" w:cs="Times New Roman"/>
      <w:b/>
      <w:bCs/>
      <w:kern w:val="28"/>
      <w:sz w:val="32"/>
      <w:szCs w:val="32"/>
    </w:rPr>
  </w:style>
  <w:style w:type="character" w:customStyle="1" w:styleId="32">
    <w:name w:val="批注框文本 字符"/>
    <w:basedOn w:val="23"/>
    <w:link w:val="8"/>
    <w:semiHidden/>
    <w:qFormat/>
    <w:uiPriority w:val="99"/>
    <w:rPr>
      <w:rFonts w:ascii="Times New Roman" w:hAnsi="Times New Roman" w:eastAsia="宋体" w:cs="Times New Roman"/>
      <w:sz w:val="18"/>
      <w:szCs w:val="18"/>
    </w:rPr>
  </w:style>
  <w:style w:type="character" w:customStyle="1" w:styleId="33">
    <w:name w:val="页眉 字符"/>
    <w:basedOn w:val="23"/>
    <w:link w:val="10"/>
    <w:qFormat/>
    <w:uiPriority w:val="99"/>
    <w:rPr>
      <w:rFonts w:ascii="Times New Roman" w:hAnsi="Times New Roman" w:eastAsia="宋体" w:cs="Times New Roman"/>
      <w:sz w:val="18"/>
      <w:szCs w:val="18"/>
    </w:rPr>
  </w:style>
  <w:style w:type="character" w:customStyle="1" w:styleId="34">
    <w:name w:val="批注文字 字符"/>
    <w:basedOn w:val="23"/>
    <w:link w:val="3"/>
    <w:qFormat/>
    <w:uiPriority w:val="99"/>
    <w:rPr>
      <w:rFonts w:ascii="Times New Roman" w:hAnsi="Times New Roman" w:eastAsia="宋体" w:cs="Times New Roman"/>
      <w:kern w:val="2"/>
      <w:sz w:val="21"/>
    </w:rPr>
  </w:style>
  <w:style w:type="character" w:customStyle="1" w:styleId="35">
    <w:name w:val="批注主题 字符"/>
    <w:basedOn w:val="34"/>
    <w:link w:val="20"/>
    <w:semiHidden/>
    <w:qFormat/>
    <w:uiPriority w:val="99"/>
    <w:rPr>
      <w:rFonts w:ascii="Times New Roman" w:hAnsi="Times New Roman" w:eastAsia="宋体" w:cs="Times New Roman"/>
      <w:b/>
      <w:bCs/>
      <w:kern w:val="2"/>
      <w:sz w:val="21"/>
    </w:rPr>
  </w:style>
  <w:style w:type="paragraph" w:customStyle="1" w:styleId="36">
    <w:name w:val="一级"/>
    <w:basedOn w:val="1"/>
    <w:qFormat/>
    <w:uiPriority w:val="0"/>
    <w:pPr>
      <w:snapToGrid w:val="0"/>
      <w:spacing w:before="240" w:after="120" w:line="360" w:lineRule="auto"/>
      <w:outlineLvl w:val="0"/>
    </w:pPr>
    <w:rPr>
      <w:rFonts w:ascii="黑体" w:hAnsi="黑体" w:eastAsia="黑体" w:cstheme="minorBidi"/>
      <w:sz w:val="28"/>
      <w:szCs w:val="28"/>
    </w:rPr>
  </w:style>
  <w:style w:type="paragraph" w:customStyle="1" w:styleId="37">
    <w:name w:val="二级"/>
    <w:basedOn w:val="1"/>
    <w:next w:val="38"/>
    <w:qFormat/>
    <w:uiPriority w:val="0"/>
    <w:pPr>
      <w:snapToGrid w:val="0"/>
      <w:spacing w:before="120" w:line="360" w:lineRule="auto"/>
      <w:outlineLvl w:val="1"/>
    </w:pPr>
    <w:rPr>
      <w:rFonts w:ascii="宋体" w:hAnsi="宋体" w:cstheme="minorBidi"/>
      <w:b/>
      <w:bCs/>
      <w:sz w:val="24"/>
      <w:szCs w:val="24"/>
    </w:rPr>
  </w:style>
  <w:style w:type="paragraph" w:customStyle="1" w:styleId="38">
    <w:name w:val="行文"/>
    <w:basedOn w:val="29"/>
    <w:qFormat/>
    <w:uiPriority w:val="0"/>
    <w:pPr>
      <w:spacing w:line="360" w:lineRule="auto"/>
      <w:ind w:firstLine="200"/>
    </w:pPr>
    <w:rPr>
      <w:rFonts w:ascii="宋体" w:hAnsi="宋体"/>
    </w:rPr>
  </w:style>
  <w:style w:type="paragraph" w:customStyle="1" w:styleId="3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40">
    <w:name w:val="正文文本 2 字符"/>
    <w:basedOn w:val="23"/>
    <w:link w:val="17"/>
    <w:semiHidden/>
    <w:qFormat/>
    <w:uiPriority w:val="99"/>
    <w:rPr>
      <w:rFonts w:ascii="Times New Roman" w:hAnsi="Times New Roman" w:eastAsia="宋体" w:cs="Times New Roman"/>
      <w:kern w:val="2"/>
      <w:sz w:val="21"/>
    </w:rPr>
  </w:style>
  <w:style w:type="character" w:customStyle="1" w:styleId="41">
    <w:name w:val="副标题 Char"/>
    <w:qFormat/>
    <w:uiPriority w:val="0"/>
    <w:rPr>
      <w:rFonts w:ascii="Cambria" w:hAnsi="Cambria" w:cs="Times New Roman"/>
      <w:b/>
      <w:bCs/>
      <w:kern w:val="28"/>
      <w:sz w:val="32"/>
      <w:szCs w:val="32"/>
    </w:rPr>
  </w:style>
  <w:style w:type="paragraph" w:customStyle="1" w:styleId="42">
    <w:name w:val="修订1"/>
    <w:hidden/>
    <w:semiHidden/>
    <w:qFormat/>
    <w:uiPriority w:val="99"/>
    <w:rPr>
      <w:rFonts w:ascii="Times New Roman" w:hAnsi="Times New Roman" w:eastAsia="宋体" w:cs="Times New Roman"/>
      <w:kern w:val="2"/>
      <w:sz w:val="21"/>
      <w:lang w:val="en-US" w:eastAsia="zh-CN" w:bidi="ar-SA"/>
    </w:rPr>
  </w:style>
  <w:style w:type="paragraph" w:customStyle="1" w:styleId="43">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05AEF4-02B8-4FA8-9E26-F5A6D05C4765}">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Pages>
  <Words>984</Words>
  <Characters>5609</Characters>
  <Lines>46</Lines>
  <Paragraphs>13</Paragraphs>
  <TotalTime>1</TotalTime>
  <ScaleCrop>false</ScaleCrop>
  <LinksUpToDate>false</LinksUpToDate>
  <CharactersWithSpaces>6580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2021-10-29T03:54:00Z</dcterms:created>
  <dc:creator>smt</dc:creator>
  <cp:lastModifiedBy>zhong</cp:lastModifiedBy>
  <cp:lastPrinted>2019-01-07T04:47:00Z</cp:lastPrinted>
  <dcterms:modified xsi:type="dcterms:W3CDTF">2022-01-21T07:21:04Z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D14065FA507247DB9103C3FB897C337B</vt:lpwstr>
  </property>
</Properties>
</file>